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header2.xml" ContentType="application/vnd.openxmlformats-officedocument.wordprocessingml.header+xml"/>
  <Override PartName="/word/header5.xml" ContentType="application/vnd.openxmlformats-officedocument.wordprocessingml.header+xml"/>
  <Override PartName="/word/header9.xml" ContentType="application/vnd.openxmlformats-officedocument.wordprocessingml.header+xml"/>
  <Override PartName="/word/header4.xml" ContentType="application/vnd.openxmlformats-officedocument.wordprocessingml.header+xml"/>
  <Override PartName="/word/header8.xml" ContentType="application/vnd.openxmlformats-officedocument.wordprocessingml.header+xml"/>
  <Override PartName="/word/header3.xml" ContentType="application/vnd.openxmlformats-officedocument.wordprocessingml.header+xml"/>
  <Override PartName="/word/footer9.xml" ContentType="application/vnd.openxmlformats-officedocument.wordprocessingml.footer+xml"/>
  <Override PartName="/word/footer4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7.xml" ContentType="application/vnd.openxmlformats-officedocument.wordprocessingml.footer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footer5.xml" ContentType="application/vnd.openxmlformats-officedocument.wordprocessingml.footer+xml"/>
  <Override PartName="/word/footer8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Cs/>
          <w:b/>
        </w:rPr>
        <w:t xml:space="preserve">PERPUSTAKAAN DIGITAL ABBA</w:t>
      </w:r>
    </w:p>
    <w:p>
      <w:pPr>
        <w:pStyle w:val="BodyText"/>
      </w:pPr>
      <w:r>
        <w:rPr>
          <w:iCs/>
          <w:i/>
        </w:rPr>
        <w:t xml:space="preserve">Seri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Dari Bangsal ke Beranda: Obstetri Ginekologi Sosial sebagai Ilmu Kedokteran Utuh</w:t>
      </w:r>
      <w:r>
        <w:rPr>
          <w:iCs/>
          <w:i/>
        </w:rPr>
        <w:t xml:space="preserve">”</w:t>
      </w:r>
    </w:p>
    <w:p>
      <w:pPr>
        <w:pStyle w:val="BodyText"/>
      </w:pPr>
      <w:r>
        <w:t xml:space="preserve">Buku Tambahan — Buku Utama</w:t>
      </w:r>
    </w:p>
    <w:p>
      <w:pPr>
        <w:pStyle w:val="BodyText"/>
      </w:pPr>
      <w:r>
        <w:rPr>
          <w:bCs/>
          <w:b/>
        </w:rPr>
        <w:t xml:space="preserve">Metodologi Riset Lanjutan, Kerangka Global, dan Studi Kasus Obginsos</w:t>
      </w:r>
    </w:p>
    <w:p>
      <w:pPr>
        <w:pStyle w:val="BodyText"/>
      </w:pPr>
      <w:r>
        <w:t xml:space="preserve">Suplemen Akademik, Instrumen Praktis, dan Lampiran Rujukan</w:t>
      </w:r>
    </w:p>
    <w:p>
      <w:pPr>
        <w:pStyle w:val="BodyText"/>
      </w:pPr>
      <w:r>
        <w:rPr>
          <w:bCs/>
          <w:b/>
        </w:rPr>
        <w:t xml:space="preserve">Kode Buku: UTAMA-2</w:t>
      </w:r>
    </w:p>
    <w:p>
      <w:pPr>
        <w:pStyle w:val="BodyText"/>
      </w:pPr>
      <w:r>
        <w:t xml:space="preserve">Buku Pelengkap — Melengkapi Buku Utama</w:t>
      </w:r>
      <w:r>
        <w:t xml:space="preserve"> </w:t>
      </w:r>
      <w:r>
        <w:t xml:space="preserve">“</w:t>
      </w:r>
      <w:r>
        <w:t xml:space="preserve">Dari Bangsal ke Beranda</w:t>
      </w:r>
      <w:r>
        <w:t xml:space="preserve">”</w:t>
      </w:r>
      <w:r>
        <w:t xml:space="preserve"> </w:t>
      </w:r>
      <w:r>
        <w:t xml:space="preserve">(Rujukan Lintas Semester)</w:t>
      </w:r>
    </w:p>
    <w:p>
      <w:pPr>
        <w:pStyle w:val="BodyText"/>
      </w:pPr>
      <w:r>
        <w:t xml:space="preserve">Program Pendidikan Dokter Subspesialis Obstetri Ginekologi Sosial (Obginsos)</w:t>
      </w:r>
    </w:p>
    <w:p>
      <w:pPr>
        <w:pStyle w:val="BodyText"/>
      </w:pPr>
      <w:r>
        <w:t xml:space="preserve">Disusun berdasarkan materi</w:t>
      </w:r>
      <w:r>
        <w:t xml:space="preserve"> </w:t>
      </w:r>
      <w:r>
        <w:rPr>
          <w:iCs/>
          <w:i/>
        </w:rPr>
        <w:t xml:space="preserve">Textbook Subspesialis Obstetri Ginekologi Sosial</w:t>
      </w:r>
      <w:r>
        <w:t xml:space="preserve"> </w:t>
      </w:r>
      <w:r>
        <w:t xml:space="preserve">(Himpunan Obstetri Ginekologi Sosial – Center Malang, 2026), disusun ulang dan disunting sebagai buku tersendiri dalam Buku Utama.</w:t>
      </w:r>
    </w:p>
    <w:p>
      <w:pPr>
        <w:pStyle w:val="BodyText"/>
      </w:pPr>
      <w:r>
        <w:t xml:space="preserve">Penyusun:</w:t>
      </w:r>
    </w:p>
    <w:p>
      <w:pPr>
        <w:pStyle w:val="BodyText"/>
      </w:pPr>
      <w:r>
        <w:rPr>
          <w:bCs/>
          <w:b/>
        </w:rPr>
        <w:t xml:space="preserve">Dr.dr. Budi Siswanto, Sp.OG., Subsp.Obginsos., SH., S.Kom. — Advokat</w:t>
      </w:r>
    </w:p>
    <w:p>
      <w:pPr>
        <w:pStyle w:val="BodyText"/>
      </w:pPr>
      <w:r>
        <w:t xml:space="preserve">Malang, Juli 2026</w:t>
      </w:r>
    </w:p>
    <w:bookmarkStart w:id="107" w:name="daftar-isi"/>
    <w:p>
      <w:pPr>
        <w:pStyle w:val="Heading1"/>
      </w:pPr>
      <w:r>
        <w:rPr>
          <w:bCs/>
          <w:b/>
        </w:rPr>
        <w:t xml:space="preserve">Daftar Isi</w:t>
      </w:r>
    </w:p>
    <w:p>
      <w:pPr>
        <w:pStyle w:val="FirstParagraph"/>
      </w:pPr>
      <w:r>
        <w:t xml:space="preserve">Bab 1 — Metodologi Penelitian dan Penulisan Ilmiah</w:t>
      </w:r>
    </w:p>
    <w:p>
      <w:pPr>
        <w:pStyle w:val="BodyText"/>
      </w:pPr>
      <w:r>
        <w:t xml:space="preserve">Bab 2 — Global Health dan SDGs dalam Kesehatan Reproduksi</w:t>
      </w:r>
    </w:p>
    <w:p>
      <w:pPr>
        <w:pStyle w:val="BodyText"/>
      </w:pPr>
      <w:r>
        <w:t xml:space="preserve">Bab 3 — Studi Kasus Klinis dan Analisis Sistem</w:t>
      </w:r>
    </w:p>
    <w:p>
      <w:pPr>
        <w:pStyle w:val="BodyText"/>
      </w:pPr>
      <w:r>
        <w:t xml:space="preserve">Suplemen Klinis (SK.1–SK.4) — Panduan dan Algoritma Cepat</w:t>
      </w:r>
    </w:p>
    <w:p>
      <w:pPr>
        <w:pStyle w:val="BodyText"/>
      </w:pPr>
      <w:r>
        <w:t xml:space="preserve">Lampiran A — Instrumen Skrining dan Penilaian</w:t>
      </w:r>
    </w:p>
    <w:p>
      <w:pPr>
        <w:pStyle w:val="BodyText"/>
      </w:pPr>
      <w:r>
        <w:t xml:space="preserve">Lampiran B — Regulasi Kritis</w:t>
      </w:r>
    </w:p>
    <w:p>
      <w:pPr>
        <w:pStyle w:val="BodyText"/>
      </w:pPr>
      <w:r>
        <w:t xml:space="preserve">Lampiran C — Referensi Utama per Bab</w:t>
      </w:r>
    </w:p>
    <w:p>
      <w:pPr>
        <w:pStyle w:val="BodyText"/>
      </w:pPr>
      <w:r>
        <w:t xml:space="preserve">Lampiran D — Tentang Penulis</w:t>
      </w:r>
    </w:p>
    <w:p>
      <w:pPr>
        <w:pStyle w:val="BodyText"/>
      </w:pPr>
      <w:r>
        <w:t xml:space="preserve">Daftar Referensi</w:t>
      </w:r>
    </w:p>
    <w:p>
      <w:pPr>
        <w:pStyle w:val="BodyText"/>
      </w:pPr>
      <w:r>
        <w:rPr>
          <w:bCs/>
          <w:b/>
        </w:rPr>
        <w:t xml:space="preserve">BAB 1</w:t>
      </w:r>
    </w:p>
    <w:p>
      <w:pPr>
        <w:pStyle w:val="BodyText"/>
      </w:pPr>
      <w:r>
        <w:rPr>
          <w:bCs/>
          <w:b/>
        </w:rPr>
        <w:t xml:space="preserve">Penelitian dalam Obstetri Ginekologi Sosial</w:t>
      </w:r>
    </w:p>
    <w:p>
      <w:pPr>
        <w:pStyle w:val="BodyText"/>
      </w:pPr>
      <w:r>
        <w:t xml:space="preserve"> </w:t>
      </w:r>
    </w:p>
    <w:p>
      <w:pPr>
        <w:pStyle w:val="BlockText"/>
      </w:pPr>
      <w:r>
        <w:rPr>
          <w:iCs/>
          <w:i/>
        </w:rPr>
        <w:t xml:space="preserve">Praktik terbaik tidak lahir dari intuisi klinis — ia lahir dari</w:t>
      </w:r>
      <w:r>
        <w:rPr>
          <w:iCs/>
          <w:i/>
        </w:rPr>
        <w:t xml:space="preserve"> </w:t>
      </w:r>
      <w:r>
        <w:rPr>
          <w:iCs/>
          <w:i/>
        </w:rPr>
        <w:t xml:space="preserve">penelitian yang rigorous. Bab ini membangun kompetensi penelitian Anda</w:t>
      </w:r>
      <w:r>
        <w:rPr>
          <w:iCs/>
          <w:i/>
        </w:rPr>
        <w:t xml:space="preserve"> </w:t>
      </w:r>
      <w:r>
        <w:rPr>
          <w:iCs/>
          <w:i/>
        </w:rPr>
        <w:t xml:space="preserve">dari perancangan metodologi hingga publikasi internasional, mengubah</w:t>
      </w:r>
      <w:r>
        <w:rPr>
          <w:iCs/>
          <w:i/>
        </w:rPr>
        <w:t xml:space="preserve"> </w:t>
      </w:r>
      <w:r>
        <w:rPr>
          <w:iCs/>
          <w:i/>
        </w:rPr>
        <w:t xml:space="preserve">Anda dari konsumen bukti ilmiah menjadi produsennya.</w:t>
      </w:r>
    </w:p>
    <w:p>
      <w:pPr>
        <w:pStyle w:val="FirstParagraph"/>
      </w:pPr>
      <w:r>
        <w:rPr>
          <w:bCs/>
          <w:b/>
        </w:rPr>
        <w:t xml:space="preserve">BAB 1</w:t>
      </w:r>
    </w:p>
    <w:p>
      <w:pPr>
        <w:pStyle w:val="BodyText"/>
      </w:pPr>
      <w:r>
        <w:rPr>
          <w:bCs/>
          <w:b/>
        </w:rPr>
        <w:t xml:space="preserve">PENELITIAN DALAM OBSTETRI GINEKOLOGI SOSIAL</w:t>
      </w:r>
    </w:p>
    <w:p>
      <w:pPr>
        <w:pStyle w:val="BodyText"/>
      </w:pPr>
      <w:r>
        <w:rPr>
          <w:iCs/>
          <w:i/>
        </w:rPr>
        <w:t xml:space="preserve">Metodologi, etika, dan publikasi ilmiah untuk peneliti Obginsos yang</w:t>
      </w:r>
      <w:r>
        <w:rPr>
          <w:iCs/>
          <w:i/>
        </w:rPr>
        <w:t xml:space="preserve"> </w:t>
      </w:r>
      <w:r>
        <w:rPr>
          <w:iCs/>
          <w:i/>
        </w:rPr>
        <w:t xml:space="preserve">produktif dan berintegritas</w:t>
      </w:r>
    </w:p>
    <w:tbl>
      <w:tblPr>
        <w:tblStyle w:val="Table"/>
        <w:tblW w:type="pct" w:w="4865"/>
        <w:tblLook w:firstRow="0" w:lastRow="0" w:firstColumn="0" w:lastColumn="0" w:noHBand="0" w:noVBand="0" w:val="0000"/>
        <w:jc w:val="start"/>
      </w:tblPr>
      <w:tblGrid>
        <w:gridCol w:w="7705"/>
      </w:tblGrid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🎯 TUJUAN PEMBELAJARAN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1.</w:t>
            </w:r>
            <w:r>
              <w:t xml:space="preserve"> </w:t>
            </w:r>
            <w:r>
              <w:t xml:space="preserve">Memilih desain penelitian yang tepat untuk berbagai pertanyaan</w:t>
            </w:r>
            <w:r>
              <w:t xml:space="preserve"> </w:t>
            </w:r>
            <w:r>
              <w:t xml:space="preserve">penelitian dalam Obginsos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2.</w:t>
            </w:r>
            <w:r>
              <w:t xml:space="preserve"> </w:t>
            </w:r>
            <w:r>
              <w:t xml:space="preserve">Menerapkan prinsip-prinsip etika penelitian yang ketat dalam</w:t>
            </w:r>
            <w:r>
              <w:t xml:space="preserve"> </w:t>
            </w:r>
            <w:r>
              <w:t xml:space="preserve">studi yang melibatkan perempuan hamil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3.</w:t>
            </w:r>
            <w:r>
              <w:t xml:space="preserve"> </w:t>
            </w:r>
            <w:r>
              <w:t xml:space="preserve">Merancang dan mengimplementasikan penelitian kualitatif yang</w:t>
            </w:r>
            <w:r>
              <w:t xml:space="preserve"> </w:t>
            </w:r>
            <w:r>
              <w:t xml:space="preserve">rigorousuntuk pertanyaan sosial dalam Obginsos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4.</w:t>
            </w:r>
            <w:r>
              <w:t xml:space="preserve"> </w:t>
            </w:r>
            <w:r>
              <w:t xml:space="preserve">Menulis laporan penelitian yang memenuhi standar pelaporan</w:t>
            </w:r>
            <w:r>
              <w:t xml:space="preserve"> </w:t>
            </w:r>
            <w:r>
              <w:t xml:space="preserve">internasional (CONSORT, STROBE, PRISMA)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5.</w:t>
            </w:r>
            <w:r>
              <w:t xml:space="preserve"> </w:t>
            </w:r>
            <w:r>
              <w:t xml:space="preserve">Menyusun strategi publikasi yang efektif di jurnal nasional dan</w:t>
            </w:r>
            <w:r>
              <w:t xml:space="preserve"> </w:t>
            </w:r>
            <w:r>
              <w:t xml:space="preserve">internasional bereputasi</w:t>
            </w:r>
          </w:p>
        </w:tc>
      </w:tr>
    </w:tbl>
    <w:bookmarkStart w:id="31" w:name="metodologi-penelitian-kesehatan-maternal"/>
    <w:p>
      <w:pPr>
        <w:pStyle w:val="Heading2"/>
      </w:pPr>
      <w:r>
        <w:t xml:space="preserve">1.1 Metodologi Penelitian Kesehatan Maternal</w:t>
      </w:r>
    </w:p>
    <w:p>
      <w:pPr>
        <w:pStyle w:val="FirstParagraph"/>
      </w:pPr>
      <w:r>
        <w:t xml:space="preserve">Penelitian yang baik adalah fondasi praktik yang baik. Tanpa penelitian</w:t>
      </w:r>
      <w:r>
        <w:t xml:space="preserve"> </w:t>
      </w:r>
      <w:r>
        <w:t xml:space="preserve">yang rigorousuntuk menghasilkan bukti yang valid, klinisi dan pembuat</w:t>
      </w:r>
      <w:r>
        <w:t xml:space="preserve"> </w:t>
      </w:r>
      <w:r>
        <w:t xml:space="preserve">kebijakan akan terpaksa membuat keputusan berdasarkan tradisi, intuisi,</w:t>
      </w:r>
      <w:r>
        <w:t xml:space="preserve"> </w:t>
      </w:r>
      <w:r>
        <w:t xml:space="preserve">atau kepentingan yang tidak teridentifikasi. Namun penelitian yang buruk</w:t>
      </w:r>
      <w:r>
        <w:t xml:space="preserve"> </w:t>
      </w:r>
      <w:r>
        <w:t xml:space="preserve">— yang menyimpulkan hal yang salah dengan keyakinan yang tinggi karena</w:t>
      </w:r>
      <w:r>
        <w:t xml:space="preserve"> </w:t>
      </w:r>
      <w:r>
        <w:t xml:space="preserve">metodologi yang tidak tepat — bisa lebih berbahaya dari ketiadaan</w:t>
      </w:r>
      <w:r>
        <w:t xml:space="preserve"> </w:t>
      </w:r>
      <w:r>
        <w:t xml:space="preserve">penelitian. Seorang subspesialis Obginsos yang kompeten dalam metodologi</w:t>
      </w:r>
      <w:r>
        <w:t xml:space="preserve"> </w:t>
      </w:r>
      <w:r>
        <w:t xml:space="preserve">penelitian akan menjadi konsumen bukti ilmiah yang kritis sekaligus</w:t>
      </w:r>
      <w:r>
        <w:t xml:space="preserve"> </w:t>
      </w:r>
      <w:r>
        <w:t xml:space="preserve">produser pengetahuan baru yang bertanggung jawab.</w:t>
      </w:r>
    </w:p>
    <w:bookmarkStart w:id="24" w:name="desain-penelitian-epidemiologi"/>
    <w:p>
      <w:pPr>
        <w:pStyle w:val="Heading3"/>
      </w:pPr>
      <w:r>
        <w:t xml:space="preserve">1.1.1 Desain Penelitian Epidemiologi</w:t>
      </w:r>
    </w:p>
    <w:p>
      <w:pPr>
        <w:pStyle w:val="FirstParagraph"/>
      </w:pPr>
      <w:r>
        <w:t xml:space="preserve">Pilihan desain penelitian harus dimulai dari pertanyaan penelitian yang</w:t>
      </w:r>
      <w:r>
        <w:t xml:space="preserve"> </w:t>
      </w:r>
      <w:r>
        <w:t xml:space="preserve">jelas — bukan dari ketersediaan data atau preferensi metodologi.</w:t>
      </w:r>
      <w:r>
        <w:t xml:space="preserve"> </w:t>
      </w:r>
      <w:r>
        <w:t xml:space="preserve">Pertanyaan yang berbeda membutuhkan desain yang berbeda: pertanyaan</w:t>
      </w:r>
      <w:r>
        <w:t xml:space="preserve"> </w:t>
      </w:r>
      <w:r>
        <w:t xml:space="preserve">tentang prevalensi dijawab dengan cross-sectional; pertanyaan tentang</w:t>
      </w:r>
      <w:r>
        <w:t xml:space="preserve"> </w:t>
      </w:r>
      <w:r>
        <w:t xml:space="preserve">asosiasi kausal dengan kohort atau kasus-kontrol; pertanyaan tentang</w:t>
      </w:r>
      <w:r>
        <w:t xml:space="preserve"> </w:t>
      </w:r>
      <w:r>
        <w:t xml:space="preserve">efektivitas intervensi dengan uji klinis acak. Hierarki bukti</w:t>
      </w:r>
      <w:r>
        <w:t xml:space="preserve"> </w:t>
      </w:r>
      <w:r>
        <w:t xml:space="preserve">menempatkan systematic review dari RCT di puncak untuk pertanyaan</w:t>
      </w:r>
      <w:r>
        <w:t xml:space="preserve"> </w:t>
      </w:r>
      <w:r>
        <w:t xml:space="preserve">efektivitas — namun untuk pertanyaan etiologi atau prevalensi dalam</w:t>
      </w:r>
      <w:r>
        <w:t xml:space="preserve"> </w:t>
      </w:r>
      <w:r>
        <w:t xml:space="preserve">konteks Indonesia yang spesifik, studi observasional berkualitas tinggi</w:t>
      </w:r>
      <w:r>
        <w:t xml:space="preserve"> </w:t>
      </w:r>
      <w:r>
        <w:t xml:space="preserve">seringkali lebih relevan dan lebih feasible.</w:t>
      </w:r>
    </w:p>
    <w:bookmarkStart w:id="20" w:name="a.-studi-cross-sectional"/>
    <w:p>
      <w:pPr>
        <w:pStyle w:val="Heading4"/>
      </w:pPr>
      <w:r>
        <w:t xml:space="preserve">a. Studi Cross-Sectional</w:t>
      </w:r>
    </w:p>
    <w:p>
      <w:pPr>
        <w:pStyle w:val="FirstParagraph"/>
      </w:pPr>
      <w:r>
        <w:t xml:space="preserve">Studi cross-sectional mengumpulkan data pada satu titik waktu (atau</w:t>
      </w:r>
      <w:r>
        <w:t xml:space="preserve"> </w:t>
      </w:r>
      <w:r>
        <w:t xml:space="preserve">dalam periode waktu yang singkat) dari sampel yang mewakili populasi</w:t>
      </w:r>
      <w:r>
        <w:t xml:space="preserve"> </w:t>
      </w:r>
      <w:r>
        <w:t xml:space="preserve">target. Kekuatannya: relatif cepat dan murah, dapat mengestimasi</w:t>
      </w:r>
      <w:r>
        <w:t xml:space="preserve"> </w:t>
      </w:r>
      <w:r>
        <w:t xml:space="preserve">prevalensi dengan tepat, dapat menguji banyak hipotesis sekaligus, dan</w:t>
      </w:r>
      <w:r>
        <w:t xml:space="preserve"> </w:t>
      </w:r>
      <w:r>
        <w:t xml:space="preserve">berguna sebagai studi pendahuluan. Keterbatasannya: tidak dapat</w:t>
      </w:r>
      <w:r>
        <w:t xml:space="preserve"> </w:t>
      </w:r>
      <w:r>
        <w:t xml:space="preserve">menetapkan temporalitas (mana yang menyebabkan mana), rentan terhadap</w:t>
      </w:r>
      <w:r>
        <w:t xml:space="preserve"> </w:t>
      </w:r>
      <w:r>
        <w:t xml:space="preserve">prevalence-incidence bias (kondisi yang menyebabkan kematian cepat akan</w:t>
      </w:r>
      <w:r>
        <w:t xml:space="preserve"> </w:t>
      </w:r>
      <w:r>
        <w:t xml:space="preserve">underrepresented), dan tidak cocok untuk kondisi yang jarang.</w:t>
      </w:r>
    </w:p>
    <w:p>
      <w:pPr>
        <w:pStyle w:val="BodyText"/>
      </w:pPr>
      <w:r>
        <w:t xml:space="preserve">Dalam konteks Obginsos, studi cross-sectional sangat berguna untuk:</w:t>
      </w:r>
      <w:r>
        <w:t xml:space="preserve"> </w:t>
      </w:r>
      <w:r>
        <w:t xml:space="preserve">mengestimasi prevalensi IMS pada ibu hamil di wilayah tertentu,</w:t>
      </w:r>
      <w:r>
        <w:t xml:space="preserve"> </w:t>
      </w:r>
      <w:r>
        <w:t xml:space="preserve">mengidentifikasi faktor-faktor yang berasosiasi dengan ketidakpatuhan</w:t>
      </w:r>
      <w:r>
        <w:t xml:space="preserve"> </w:t>
      </w:r>
      <w:r>
        <w:t xml:space="preserve">ANC, menilai pengetahuan dan sikap tenaga kesehatan tentang isu-isu</w:t>
      </w:r>
      <w:r>
        <w:t xml:space="preserve"> </w:t>
      </w:r>
      <w:r>
        <w:t xml:space="preserve">spesifik, dan survei baseline sebelum program intervensi. Desain yang</w:t>
      </w:r>
      <w:r>
        <w:t xml:space="preserve"> </w:t>
      </w:r>
      <w:r>
        <w:t xml:space="preserve">baik memerlukan: definisi populasi target yang jelas, strategi sampling</w:t>
      </w:r>
      <w:r>
        <w:t xml:space="preserve"> </w:t>
      </w:r>
      <w:r>
        <w:t xml:space="preserve">yang representatif, kuesioner yang tervalidasi, dan analisis yang</w:t>
      </w:r>
      <w:r>
        <w:t xml:space="preserve"> </w:t>
      </w:r>
      <w:r>
        <w:t xml:space="preserve">memperhitungkan confounding.</w:t>
      </w:r>
    </w:p>
    <w:bookmarkEnd w:id="20"/>
    <w:bookmarkStart w:id="21" w:name="b.-studi-kasus-kontrol"/>
    <w:p>
      <w:pPr>
        <w:pStyle w:val="Heading4"/>
      </w:pPr>
      <w:r>
        <w:t xml:space="preserve">b. Studi Kasus-Kontrol</w:t>
      </w:r>
    </w:p>
    <w:p>
      <w:pPr>
        <w:pStyle w:val="FirstParagraph"/>
      </w:pPr>
      <w:r>
        <w:t xml:space="preserve">Studi kasus-kontrol dimulai dari outcome (kasus = yang mengalami,</w:t>
      </w:r>
      <w:r>
        <w:t xml:space="preserve"> </w:t>
      </w:r>
      <w:r>
        <w:t xml:space="preserve">kontrol = yang tidak mengalami) dan menelusuri ke belakang untuk</w:t>
      </w:r>
      <w:r>
        <w:t xml:space="preserve"> </w:t>
      </w:r>
      <w:r>
        <w:t xml:space="preserve">mengidentifikasi paparan yang mungkin menyebabkan outcome tersebut.</w:t>
      </w:r>
      <w:r>
        <w:t xml:space="preserve"> </w:t>
      </w:r>
      <w:r>
        <w:t xml:space="preserve">Sangat efisien untuk kondisi yang jarang (seperti kematian maternal atau</w:t>
      </w:r>
      <w:r>
        <w:t xml:space="preserve"> </w:t>
      </w:r>
      <w:r>
        <w:t xml:space="preserve">kanker ginekologi langka), dan dapat menguji banyak faktor risiko</w:t>
      </w:r>
      <w:r>
        <w:t xml:space="preserve"> </w:t>
      </w:r>
      <w:r>
        <w:t xml:space="preserve">sekaligus. Keterbatasan utama: rentan terhadap recall bias (kasus lebih</w:t>
      </w:r>
      <w:r>
        <w:t xml:space="preserve"> </w:t>
      </w:r>
      <w:r>
        <w:t xml:space="preserve">ingat paparan di masa lalu) dan selection bias dalam pemilihan kontrol.</w:t>
      </w:r>
    </w:p>
    <w:p>
      <w:pPr>
        <w:pStyle w:val="BodyText"/>
      </w:pPr>
      <w:r>
        <w:t xml:space="preserve">Untuk penelitian kematian maternal di Indonesia, studi kasus-kontrol</w:t>
      </w:r>
      <w:r>
        <w:t xml:space="preserve"> </w:t>
      </w:r>
      <w:r>
        <w:t xml:space="preserve">berbasis AMP data adalah pendekatan yang feasible dan informatif: kasus</w:t>
      </w:r>
      <w:r>
        <w:t xml:space="preserve"> </w:t>
      </w:r>
      <w:r>
        <w:t xml:space="preserve">adalah kematian maternal yang sudah didokumentasikan dalam AMP, kontrol</w:t>
      </w:r>
      <w:r>
        <w:t xml:space="preserve"> </w:t>
      </w:r>
      <w:r>
        <w:t xml:space="preserve">adalah ibu yang melahirkan di fasilitas yang sama dalam periode yang</w:t>
      </w:r>
      <w:r>
        <w:t xml:space="preserve"> </w:t>
      </w:r>
      <w:r>
        <w:t xml:space="preserve">sama tanpa kematian. Faktor-faktor yang dapat diteliti: waktu tempuh ke</w:t>
      </w:r>
      <w:r>
        <w:t xml:space="preserve"> </w:t>
      </w:r>
      <w:r>
        <w:t xml:space="preserve">fasilitas, kualitas komunikasi rujukan, ketersediaan darah, kepatuhan</w:t>
      </w:r>
      <w:r>
        <w:t xml:space="preserve"> </w:t>
      </w:r>
      <w:r>
        <w:t xml:space="preserve">terhadap protokol.</w:t>
      </w:r>
    </w:p>
    <w:bookmarkEnd w:id="21"/>
    <w:bookmarkStart w:id="22" w:name="X4cc59c779b17704289b1e7855fc8eca90f0a2dc"/>
    <w:p>
      <w:pPr>
        <w:pStyle w:val="Heading4"/>
      </w:pPr>
      <w:r>
        <w:t xml:space="preserve">c. Studi Kohort Prospektif dan Retrospektif</w:t>
      </w:r>
    </w:p>
    <w:p>
      <w:pPr>
        <w:pStyle w:val="FirstParagraph"/>
      </w:pPr>
      <w:r>
        <w:t xml:space="preserve">Studi kohort mengikuti sekelompok orang dari paparan ke outcome — ke</w:t>
      </w:r>
      <w:r>
        <w:t xml:space="preserve"> </w:t>
      </w:r>
      <w:r>
        <w:t xml:space="preserve">depan (prospektif) atau ke belakang menggunakan data yang sudah ada</w:t>
      </w:r>
      <w:r>
        <w:t xml:space="preserve"> </w:t>
      </w:r>
      <w:r>
        <w:t xml:space="preserve">(retrospektif). Kohort prospektif memberikan bukti kausal yang lebih</w:t>
      </w:r>
      <w:r>
        <w:t xml:space="preserve"> </w:t>
      </w:r>
      <w:r>
        <w:t xml:space="preserve">kuat karena: temporalitas sudah jelas, paparan dinilai sebelum outcome,</w:t>
      </w:r>
      <w:r>
        <w:t xml:space="preserve"> </w:t>
      </w:r>
      <w:r>
        <w:t xml:space="preserve">dan bias recall diminimalkan. Dalam konteks Obginsos Indonesia, kohort</w:t>
      </w:r>
      <w:r>
        <w:t xml:space="preserve"> </w:t>
      </w:r>
      <w:r>
        <w:t xml:space="preserve">prospektif yang paling berharga adalah kohort kehamilan (pregnancy</w:t>
      </w:r>
      <w:r>
        <w:t xml:space="preserve"> </w:t>
      </w:r>
      <w:r>
        <w:t xml:space="preserve">cohort) yang mengikuti ibu hamil dari trimester pertama hingga nifas</w:t>
      </w:r>
      <w:r>
        <w:t xml:space="preserve"> </w:t>
      </w:r>
      <w:r>
        <w:t xml:space="preserve">untuk mengidentifikasi faktor risiko komplikasi dan kematian.</w:t>
      </w:r>
    </w:p>
    <w:p>
      <w:pPr>
        <w:pStyle w:val="BodyText"/>
      </w:pPr>
      <w:r>
        <w:t xml:space="preserve">Tantangan studi kohort di Indonesia: follow-up loss yang tinggi</w:t>
      </w:r>
      <w:r>
        <w:t xml:space="preserve"> </w:t>
      </w:r>
      <w:r>
        <w:t xml:space="preserve">(terutama pada populasi yang mobile), biaya dan logistik untuk kohort</w:t>
      </w:r>
      <w:r>
        <w:t xml:space="preserve"> </w:t>
      </w:r>
      <w:r>
        <w:t xml:space="preserve">besar, dan waktu yang lama untuk mendapatkan hasil. Kohort berbasis</w:t>
      </w:r>
      <w:r>
        <w:t xml:space="preserve"> </w:t>
      </w:r>
      <w:r>
        <w:t xml:space="preserve">fasilitas — yang memanfaatkan sistem rekam medis elektronik yang sudah</w:t>
      </w:r>
      <w:r>
        <w:t xml:space="preserve"> </w:t>
      </w:r>
      <w:r>
        <w:t xml:space="preserve">ada — adalah pendekatan yang semakin feasible seiring dengan</w:t>
      </w:r>
      <w:r>
        <w:t xml:space="preserve"> </w:t>
      </w:r>
      <w:r>
        <w:t xml:space="preserve">perkembangan RME di RS-RS besar Indonesia.</w:t>
      </w:r>
    </w:p>
    <w:bookmarkEnd w:id="22"/>
    <w:bookmarkStart w:id="23" w:name="Xb0fd5a934437930c418ff093a32b600f3a1cb9c"/>
    <w:p>
      <w:pPr>
        <w:pStyle w:val="Heading4"/>
      </w:pPr>
      <w:r>
        <w:t xml:space="preserve">d. Uji Klinis Acak — Standar Emas yang Kontekstual</w:t>
      </w:r>
    </w:p>
    <w:p>
      <w:pPr>
        <w:pStyle w:val="FirstParagraph"/>
      </w:pPr>
      <w:r>
        <w:t xml:space="preserve">Randomized Controlled Trial (RCT) adalah desain standar emas untuk</w:t>
      </w:r>
      <w:r>
        <w:t xml:space="preserve"> </w:t>
      </w:r>
      <w:r>
        <w:t xml:space="preserve">mengevaluasi efektivitas intervensi karena randomisasi mendistribusikan</w:t>
      </w:r>
      <w:r>
        <w:t xml:space="preserve"> </w:t>
      </w:r>
      <w:r>
        <w:t xml:space="preserve">confounders yang diketahui maupun tidak diketahui secara merata antara</w:t>
      </w:r>
      <w:r>
        <w:t xml:space="preserve"> </w:t>
      </w:r>
      <w:r>
        <w:t xml:space="preserve">kelompok intervensi dan kontrol — memungkinkan inferensi kausal yang</w:t>
      </w:r>
      <w:r>
        <w:t xml:space="preserve"> </w:t>
      </w:r>
      <w:r>
        <w:t xml:space="preserve">kuat. Dalam konteks Obginsos, RCT sangat berharga untuk: mengevaluasi</w:t>
      </w:r>
      <w:r>
        <w:t xml:space="preserve"> </w:t>
      </w:r>
      <w:r>
        <w:t xml:space="preserve">intervensi program kesehatan komunitas, membandingkan protokol klinis,</w:t>
      </w:r>
      <w:r>
        <w:t xml:space="preserve"> </w:t>
      </w:r>
      <w:r>
        <w:t xml:space="preserve">dan menilai efektivitas teknologi baru.</w:t>
      </w:r>
    </w:p>
    <w:p>
      <w:pPr>
        <w:pStyle w:val="BlockText"/>
      </w:pPr>
      <w:r>
        <w:rPr>
          <w:iCs/>
          <w:i/>
          <w:bCs/>
          <w:b/>
        </w:rPr>
        <w:t xml:space="preserve">i. Randomisasi dan Alokasi Tersembunyi</w:t>
      </w:r>
    </w:p>
    <w:p>
      <w:pPr>
        <w:pStyle w:val="FirstParagraph"/>
      </w:pPr>
      <w:r>
        <w:t xml:space="preserve">Randomisasi yang benar memastikan bahwa setiap partisipan memiliki</w:t>
      </w:r>
      <w:r>
        <w:t xml:space="preserve"> </w:t>
      </w:r>
      <w:r>
        <w:t xml:space="preserve">probabilitas yang sama untuk masuk ke setiap kelompok, tidak dapat</w:t>
      </w:r>
      <w:r>
        <w:t xml:space="preserve"> </w:t>
      </w:r>
      <w:r>
        <w:t xml:space="preserve">diprediksi sebelumnya, dan tidak dapat dimanipulasi. Metode yang</w:t>
      </w:r>
      <w:r>
        <w:t xml:space="preserve"> </w:t>
      </w:r>
      <w:r>
        <w:t xml:space="preserve">direkomendasikan: randomisasi menggunakan generator angka acak komputer</w:t>
      </w:r>
      <w:r>
        <w:t xml:space="preserve"> </w:t>
      </w:r>
      <w:r>
        <w:t xml:space="preserve">dengan alokasi tersembunyi (concealment of allocation) — artinya orang</w:t>
      </w:r>
      <w:r>
        <w:t xml:space="preserve"> </w:t>
      </w:r>
      <w:r>
        <w:t xml:space="preserve">yang mendaftarkan partisipan tidak mengetahui kelompok mana yang akan</w:t>
      </w:r>
      <w:r>
        <w:t xml:space="preserve"> </w:t>
      </w:r>
      <w:r>
        <w:t xml:space="preserve">diterima partisipan berikutnya. Kegagalan dalam alokasi tersembunyi</w:t>
      </w:r>
      <w:r>
        <w:t xml:space="preserve"> </w:t>
      </w:r>
      <w:r>
        <w:t xml:space="preserve">adalah salah satu sumber bias terbesar dalam RCT yang diterbitkan.</w:t>
      </w:r>
    </w:p>
    <w:p>
      <w:pPr>
        <w:pStyle w:val="BlockText"/>
      </w:pPr>
      <w:r>
        <w:rPr>
          <w:iCs/>
          <w:i/>
          <w:bCs/>
          <w:b/>
        </w:rPr>
        <w:t xml:space="preserve">ii. Blinding dalam Konteks Obstetri</w:t>
      </w:r>
    </w:p>
    <w:p>
      <w:pPr>
        <w:pStyle w:val="FirstParagraph"/>
      </w:pPr>
      <w:r>
        <w:t xml:space="preserve">Blinding dalam RCT obstetri sering tidak feasible secara penuh karena</w:t>
      </w:r>
      <w:r>
        <w:t xml:space="preserve"> </w:t>
      </w:r>
      <w:r>
        <w:t xml:space="preserve">sifat intervensi (tidak mungkin menyembunyikan dari ibu bahwa ia</w:t>
      </w:r>
      <w:r>
        <w:t xml:space="preserve"> </w:t>
      </w:r>
      <w:r>
        <w:t xml:space="preserve">mendapat kelas ibu hamil atau program community outreach). Dalam kondisi</w:t>
      </w:r>
      <w:r>
        <w:t xml:space="preserve"> </w:t>
      </w:r>
      <w:r>
        <w:t xml:space="preserve">ini, setidaknya outcome assessor harus di-blind untuk mengurangi bias</w:t>
      </w:r>
      <w:r>
        <w:t xml:space="preserve"> </w:t>
      </w:r>
      <w:r>
        <w:t xml:space="preserve">penilaian outcome. Single-blind (partisipan tidak tahu kelompoknya),</w:t>
      </w:r>
      <w:r>
        <w:t xml:space="preserve"> </w:t>
      </w:r>
      <w:r>
        <w:t xml:space="preserve">double-blind (partisipan dan tenaga kesehatan tidak tahu), atau</w:t>
      </w:r>
      <w:r>
        <w:t xml:space="preserve"> </w:t>
      </w:r>
      <w:r>
        <w:t xml:space="preserve">triple-blind (ditambah outcome assessor) — yang mana feasible</w:t>
      </w:r>
      <w:r>
        <w:t xml:space="preserve"> </w:t>
      </w:r>
      <w:r>
        <w:t xml:space="preserve">tergantung sifat intervensi.</w:t>
      </w:r>
    </w:p>
    <w:p>
      <w:pPr>
        <w:pStyle w:val="BlockText"/>
      </w:pPr>
      <w:r>
        <w:rPr>
          <w:iCs/>
          <w:i/>
          <w:bCs/>
          <w:b/>
        </w:rPr>
        <w:t xml:space="preserve">iii. Analisis Intention-to-Treat vs Per-Protocol</w:t>
      </w:r>
    </w:p>
    <w:p>
      <w:pPr>
        <w:pStyle w:val="FirstParagraph"/>
      </w:pPr>
      <w:r>
        <w:t xml:space="preserve">Analisis Intention-to-Treat (ITT) menganalisis semua partisipan sesuai</w:t>
      </w:r>
      <w:r>
        <w:t xml:space="preserve"> </w:t>
      </w:r>
      <w:r>
        <w:t xml:space="preserve">kelompok yang mereka randomisasi masuk — terlepas dari apakah mereka</w:t>
      </w:r>
      <w:r>
        <w:t xml:space="preserve"> </w:t>
      </w:r>
      <w:r>
        <w:t xml:space="preserve">benar-benar menerima intervensi yang ditetapkan. ITT mempertahankan</w:t>
      </w:r>
      <w:r>
        <w:t xml:space="preserve"> </w:t>
      </w:r>
      <w:r>
        <w:t xml:space="preserve">manfaat randomisasi dan memberikan estimasi efek intervensi dalam</w:t>
      </w:r>
      <w:r>
        <w:t xml:space="preserve"> </w:t>
      </w:r>
      <w:r>
        <w:t xml:space="preserve">kondisi 'real world' (dengan ketidakpatuhan yang nyata). Analisis</w:t>
      </w:r>
      <w:r>
        <w:t xml:space="preserve"> </w:t>
      </w:r>
      <w:r>
        <w:t xml:space="preserve">per-protocol menganalisis hanya partisipan yang benar-benar menerima</w:t>
      </w:r>
      <w:r>
        <w:t xml:space="preserve"> </w:t>
      </w:r>
      <w:r>
        <w:t xml:space="preserve">intervensi sesuai protokol — memberikan estimasi efek dalam kondisi</w:t>
      </w:r>
      <w:r>
        <w:t xml:space="preserve"> </w:t>
      </w:r>
      <w:r>
        <w:t xml:space="preserve">'ideal compliance'. Keduanya penting dan harus dilaporkan.</w:t>
      </w:r>
    </w:p>
    <w:bookmarkEnd w:id="23"/>
    <w:bookmarkEnd w:id="24"/>
    <w:bookmarkStart w:id="29" w:name="penelitian-kualitatif-dalam-obginsos"/>
    <w:p>
      <w:pPr>
        <w:pStyle w:val="Heading3"/>
      </w:pPr>
      <w:r>
        <w:t xml:space="preserve">1.1.2 Penelitian Kualitatif dalam Obginsos</w:t>
      </w:r>
    </w:p>
    <w:p>
      <w:pPr>
        <w:pStyle w:val="FirstParagraph"/>
      </w:pPr>
      <w:r>
        <w:t xml:space="preserve">Metodologi kualitatif adalah pendekatan penelitian yang paling sesuai</w:t>
      </w:r>
      <w:r>
        <w:t xml:space="preserve"> </w:t>
      </w:r>
      <w:r>
        <w:t xml:space="preserve">untuk menjawab pertanyaan 'mengapa' dan 'bagaimana' yang tidak dapat</w:t>
      </w:r>
      <w:r>
        <w:t xml:space="preserve"> </w:t>
      </w:r>
      <w:r>
        <w:t xml:space="preserve">dijawab oleh angka-angka. Mengapa perempuan di daerah tertentu menolak</w:t>
      </w:r>
      <w:r>
        <w:t xml:space="preserve"> </w:t>
      </w:r>
      <w:r>
        <w:t xml:space="preserve">melahirkan di fasilitas meskipun gratis? Bagaimana pengalaman obstetric</w:t>
      </w:r>
      <w:r>
        <w:t xml:space="preserve"> </w:t>
      </w:r>
      <w:r>
        <w:t xml:space="preserve">violence mempengaruhi persepsi perempuan tentang tenaga kesehatan? Apa</w:t>
      </w:r>
      <w:r>
        <w:t xml:space="preserve"> </w:t>
      </w:r>
      <w:r>
        <w:t xml:space="preserve">makna pengambilan keputusan reproduksi bagi perempuan dalam konteks</w:t>
      </w:r>
      <w:r>
        <w:t xml:space="preserve"> </w:t>
      </w:r>
      <w:r>
        <w:t xml:space="preserve">budaya tertentu? Ini adalah pertanyaan-pertanyaan yang membentuk inti</w:t>
      </w:r>
      <w:r>
        <w:t xml:space="preserve"> </w:t>
      </w:r>
      <w:r>
        <w:t xml:space="preserve">dari Obginsos sebagai disiplin sosial-klinis, dan kualitatif adalah alat</w:t>
      </w:r>
      <w:r>
        <w:t xml:space="preserve"> </w:t>
      </w:r>
      <w:r>
        <w:t xml:space="preserve">yang tepat untuk menjawabnya.</w:t>
      </w:r>
    </w:p>
    <w:bookmarkStart w:id="25" w:name="a.-grounded-theory"/>
    <w:p>
      <w:pPr>
        <w:pStyle w:val="Heading4"/>
      </w:pPr>
      <w:r>
        <w:t xml:space="preserve">a. Grounded Theory</w:t>
      </w:r>
    </w:p>
    <w:p>
      <w:pPr>
        <w:pStyle w:val="FirstParagraph"/>
      </w:pPr>
      <w:r>
        <w:t xml:space="preserve">Grounded Theory (GT) adalah pendekatan kualitatif yang bertujuan</w:t>
      </w:r>
      <w:r>
        <w:t xml:space="preserve"> </w:t>
      </w:r>
      <w:r>
        <w:t xml:space="preserve">mengembangkan teori yang 'grounded' (berakar) dalam data yang</w:t>
      </w:r>
      <w:r>
        <w:t xml:space="preserve"> </w:t>
      </w:r>
      <w:r>
        <w:t xml:space="preserve">dikumpulkan secara sistematis dari lapangan. Berbeda dari pendekatan</w:t>
      </w:r>
      <w:r>
        <w:t xml:space="preserve"> </w:t>
      </w:r>
      <w:r>
        <w:t xml:space="preserve">deduktif yang menguji teori yang sudah ada, GT mengikuti pendekatan</w:t>
      </w:r>
      <w:r>
        <w:t xml:space="preserve"> </w:t>
      </w:r>
      <w:r>
        <w:t xml:space="preserve">induktif: peneliti masuk ke lapangan tanpa hipotesis yang kuat,</w:t>
      </w:r>
      <w:r>
        <w:t xml:space="preserve"> </w:t>
      </w:r>
      <w:r>
        <w:t xml:space="preserve">membiarkan kategori dan hubungan antar-kategori muncul dari data melalui</w:t>
      </w:r>
      <w:r>
        <w:t xml:space="preserve"> </w:t>
      </w:r>
      <w:r>
        <w:t xml:space="preserve">proses analisis yang iteratif (constant comparative method).</w:t>
      </w:r>
    </w:p>
    <w:p>
      <w:pPr>
        <w:pStyle w:val="BodyText"/>
      </w:pPr>
      <w:r>
        <w:t xml:space="preserve">GT sangat relevan dalam Obginsos ketika fenomena yang diteliti belum</w:t>
      </w:r>
      <w:r>
        <w:t xml:space="preserve"> </w:t>
      </w:r>
      <w:r>
        <w:t xml:space="preserve">memiliki penjelasan teoritis yang memadai — misalnya, membangun teori</w:t>
      </w:r>
      <w:r>
        <w:t xml:space="preserve"> </w:t>
      </w:r>
      <w:r>
        <w:t xml:space="preserve">tentang proses pengambilan keputusan untuk mencari pertolongan obstetri</w:t>
      </w:r>
      <w:r>
        <w:t xml:space="preserve"> </w:t>
      </w:r>
      <w:r>
        <w:t xml:space="preserve">dalam komunitas adat tertentu, atau mengembangkan model tentang</w:t>
      </w:r>
      <w:r>
        <w:t xml:space="preserve"> </w:t>
      </w:r>
      <w:r>
        <w:t xml:space="preserve">bagaimana tenaga kesehatan menegosiasikan konflik antara standar klinis</w:t>
      </w:r>
      <w:r>
        <w:t xml:space="preserve"> </w:t>
      </w:r>
      <w:r>
        <w:t xml:space="preserve">dan kepercayaan budaya pasien. Rigoritas dalam GT dinilai dari:</w:t>
      </w:r>
      <w:r>
        <w:t xml:space="preserve"> </w:t>
      </w:r>
      <w:r>
        <w:t xml:space="preserve">theoretical sampling yang memadai, pencapaian theoretical saturation,</w:t>
      </w:r>
      <w:r>
        <w:t xml:space="preserve"> </w:t>
      </w:r>
      <w:r>
        <w:t xml:space="preserve">dan penjelasan yang koheren tentang proses analitis yang digunakan.</w:t>
      </w:r>
    </w:p>
    <w:bookmarkEnd w:id="25"/>
    <w:bookmarkStart w:id="26" w:name="X907a5717ec42745ca94a7f7ed9c16f7771e8f87"/>
    <w:p>
      <w:pPr>
        <w:pStyle w:val="Heading4"/>
      </w:pPr>
      <w:r>
        <w:t xml:space="preserve">b. Fenomenologi: Menggali Pengalaman Hidup</w:t>
      </w:r>
    </w:p>
    <w:p>
      <w:pPr>
        <w:pStyle w:val="FirstParagraph"/>
      </w:pPr>
      <w:r>
        <w:t xml:space="preserve">Fenomenologi bertujuan menggali dan mendeskripsikan esensi dari</w:t>
      </w:r>
      <w:r>
        <w:t xml:space="preserve"> </w:t>
      </w:r>
      <w:r>
        <w:t xml:space="preserve">pengalaman hidup (lived experience) terhadap suatu fenomen sebagaimana</w:t>
      </w:r>
      <w:r>
        <w:t xml:space="preserve"> </w:t>
      </w:r>
      <w:r>
        <w:t xml:space="preserve">yang dialami oleh mereka yang mengalaminya. Berbeda dari GT yang</w:t>
      </w:r>
      <w:r>
        <w:t xml:space="preserve"> </w:t>
      </w:r>
      <w:r>
        <w:t xml:space="preserve">bertujuan membangun teori, fenomenologi bertujuan untuk pemahaman yang</w:t>
      </w:r>
      <w:r>
        <w:t xml:space="preserve"> </w:t>
      </w:r>
      <w:r>
        <w:t xml:space="preserve">mendalam dan empatik tentang pengalaman subjektif. Dalam Obginsos,</w:t>
      </w:r>
      <w:r>
        <w:t xml:space="preserve"> </w:t>
      </w:r>
      <w:r>
        <w:t xml:space="preserve">fenomenologi adalah alat ideal untuk meneliti pengalaman subjektif ibu</w:t>
      </w:r>
      <w:r>
        <w:t xml:space="preserve"> </w:t>
      </w:r>
      <w:r>
        <w:t xml:space="preserve">dengan depresi pascapartum, pengalaman korban obstetric violence, atau</w:t>
      </w:r>
      <w:r>
        <w:t xml:space="preserve"> </w:t>
      </w:r>
      <w:r>
        <w:t xml:space="preserve">pengalaman perempuan yang menjalani kemoterapi untuk kanker ginekologi.</w:t>
      </w:r>
    </w:p>
    <w:bookmarkEnd w:id="26"/>
    <w:bookmarkStart w:id="27" w:name="c.-etnografi-kesehatan-komunitas"/>
    <w:p>
      <w:pPr>
        <w:pStyle w:val="Heading4"/>
      </w:pPr>
      <w:r>
        <w:t xml:space="preserve">c. Etnografi Kesehatan Komunitas</w:t>
      </w:r>
    </w:p>
    <w:p>
      <w:pPr>
        <w:pStyle w:val="FirstParagraph"/>
      </w:pPr>
      <w:r>
        <w:t xml:space="preserve">Etnografi melibatkan peneliti yang 'menyelami' komunitas yang diteliti</w:t>
      </w:r>
      <w:r>
        <w:t xml:space="preserve"> </w:t>
      </w:r>
      <w:r>
        <w:t xml:space="preserve">untuk memahami dari dalam bagaimana keyakinan, norma, dan praktik</w:t>
      </w:r>
      <w:r>
        <w:t xml:space="preserve"> </w:t>
      </w:r>
      <w:r>
        <w:t xml:space="preserve">terbentuk dan direproduksi. Peneliti etnografis tidak hanya mewawancarai</w:t>
      </w:r>
      <w:r>
        <w:t xml:space="preserve"> </w:t>
      </w:r>
      <w:r>
        <w:t xml:space="preserve">informan tetapi juga mengobservasi kehidupan sehari-hari secara langsung</w:t>
      </w:r>
      <w:r>
        <w:t xml:space="preserve"> </w:t>
      </w:r>
      <w:r>
        <w:t xml:space="preserve">(participant observation) selama periode yang panjang (minggu hingga</w:t>
      </w:r>
      <w:r>
        <w:t xml:space="preserve"> </w:t>
      </w:r>
      <w:r>
        <w:t xml:space="preserve">bulan). Dalam konteks Obginsos, etnografi sangat berharga untuk memahami</w:t>
      </w:r>
      <w:r>
        <w:t xml:space="preserve"> </w:t>
      </w:r>
      <w:r>
        <w:t xml:space="preserve">praktik-praktik kelahiran tradisional, dinamika pengambilan keputusan</w:t>
      </w:r>
      <w:r>
        <w:t xml:space="preserve"> </w:t>
      </w:r>
      <w:r>
        <w:t xml:space="preserve">reproduksi dalam keluarga, atau mekanisme stigma IMS di tingkat</w:t>
      </w:r>
      <w:r>
        <w:t xml:space="preserve"> </w:t>
      </w:r>
      <w:r>
        <w:t xml:space="preserve">komunitas.</w:t>
      </w:r>
    </w:p>
    <w:bookmarkEnd w:id="27"/>
    <w:bookmarkStart w:id="28" w:name="X39ecab864be230cfbfae01105487ea34b8e8f6a"/>
    <w:p>
      <w:pPr>
        <w:pStyle w:val="Heading4"/>
      </w:pPr>
      <w:r>
        <w:t xml:space="preserve">d. Community-Based Participatory Research (CBPR)</w:t>
      </w:r>
    </w:p>
    <w:p>
      <w:pPr>
        <w:pStyle w:val="FirstParagraph"/>
      </w:pPr>
      <w:r>
        <w:t xml:space="preserve">CBPR adalah pendekatan penelitian yang secara fundamental melibatkan</w:t>
      </w:r>
      <w:r>
        <w:t xml:space="preserve"> </w:t>
      </w:r>
      <w:r>
        <w:t xml:space="preserve">komunitas yang diteliti sebagai mitra aktif — bukan hanya sebagai</w:t>
      </w:r>
      <w:r>
        <w:t xml:space="preserve"> </w:t>
      </w:r>
      <w:r>
        <w:t xml:space="preserve">subjek penelitian. Anggota komunitas terlibat dalam semua tahap:</w:t>
      </w:r>
      <w:r>
        <w:t xml:space="preserve"> </w:t>
      </w:r>
      <w:r>
        <w:t xml:space="preserve">perumusan pertanyaan penelitian, pengumpulan data, analisis, dan</w:t>
      </w:r>
      <w:r>
        <w:t xml:space="preserve"> </w:t>
      </w:r>
      <w:r>
        <w:t xml:space="preserve">diseminasi. CBPR lahir dari kritik bahwa penelitian konvensional sering</w:t>
      </w:r>
      <w:r>
        <w:t xml:space="preserve"> </w:t>
      </w:r>
      <w:r>
        <w:t xml:space="preserve">mengekstrak pengetahuan dari komunitas rentan tanpa memberikan manfaat</w:t>
      </w:r>
      <w:r>
        <w:t xml:space="preserve"> </w:t>
      </w:r>
      <w:r>
        <w:t xml:space="preserve">yang signifikan bagi komunitas tersebut. Dalam konteks Obginsos, CBPR</w:t>
      </w:r>
      <w:r>
        <w:t xml:space="preserve"> </w:t>
      </w:r>
      <w:r>
        <w:t xml:space="preserve">sangat relevan untuk penelitian yang melibatkan komunitas dengan sejarah</w:t>
      </w:r>
      <w:r>
        <w:t xml:space="preserve"> </w:t>
      </w:r>
      <w:r>
        <w:t xml:space="preserve">ketidakpercayaan terhadap sistem kesehatan formal atau komunitas adat.</w:t>
      </w:r>
    </w:p>
    <w:bookmarkEnd w:id="28"/>
    <w:bookmarkEnd w:id="29"/>
    <w:bookmarkStart w:id="30" w:name="mixed-methods-kekuatan-kombinasi"/>
    <w:p>
      <w:pPr>
        <w:pStyle w:val="Heading3"/>
      </w:pPr>
      <w:r>
        <w:t xml:space="preserve">1.1.3 Mixed Methods: Kekuatan Kombinasi</w:t>
      </w:r>
    </w:p>
    <w:p>
      <w:pPr>
        <w:pStyle w:val="FirstParagraph"/>
      </w:pPr>
      <w:r>
        <w:t xml:space="preserve">Mixed methods research menggabungkan metode kuantitatif dan kualitatif</w:t>
      </w:r>
      <w:r>
        <w:t xml:space="preserve"> </w:t>
      </w:r>
      <w:r>
        <w:t xml:space="preserve">dalam satu studi untuk mendapatkan pemahaman yang lebih komprehensif</w:t>
      </w:r>
      <w:r>
        <w:t xml:space="preserve"> </w:t>
      </w:r>
      <w:r>
        <w:t xml:space="preserve">dari fenomen yang diteliti — memanfaatkan kekuatan masing-masing</w:t>
      </w:r>
      <w:r>
        <w:t xml:space="preserve"> </w:t>
      </w:r>
      <w:r>
        <w:t xml:space="preserve">pendekatan sambil meminimalkan kelemahannya. Beberapa desain mixed</w:t>
      </w:r>
      <w:r>
        <w:t xml:space="preserve"> </w:t>
      </w:r>
      <w:r>
        <w:t xml:space="preserve">methods yang relevan untuk Obginsos: Sequential explanatory (kuantitatif</w:t>
      </w:r>
      <w:r>
        <w:t xml:space="preserve"> </w:t>
      </w:r>
      <w:r>
        <w:t xml:space="preserve">dulu, lalu kualitatif untuk menjelaskan hasil yang unexpected),</w:t>
      </w:r>
      <w:r>
        <w:t xml:space="preserve"> </w:t>
      </w:r>
      <w:r>
        <w:t xml:space="preserve">Sequential exploratory (kualitatif dulu untuk mengembangkan instrument</w:t>
      </w:r>
      <w:r>
        <w:t xml:space="preserve"> </w:t>
      </w:r>
      <w:r>
        <w:t xml:space="preserve">atau hipotesis, lalu kuantitatif untuk menguji), dan Concurrent</w:t>
      </w:r>
      <w:r>
        <w:t xml:space="preserve"> </w:t>
      </w:r>
      <w:r>
        <w:t xml:space="preserve">triangulation (kuantitatif dan kualitatif berjalan paralel, hasil</w:t>
      </w:r>
      <w:r>
        <w:t xml:space="preserve"> </w:t>
      </w:r>
      <w:r>
        <w:t xml:space="preserve">diintegrasikan pada tahap interpretasi).</w:t>
      </w:r>
    </w:p>
    <w:bookmarkEnd w:id="30"/>
    <w:bookmarkEnd w:id="31"/>
    <w:bookmarkStart w:id="38" w:name="Xfbf476407abf62c51edc21cd3eae335274df8a6"/>
    <w:p>
      <w:pPr>
        <w:pStyle w:val="Heading2"/>
      </w:pPr>
      <w:r>
        <w:t xml:space="preserve">1.2 Etika Penelitian dengan Subjek Ibu dan Janin</w:t>
      </w:r>
    </w:p>
    <w:bookmarkStart w:id="35" w:name="prinsip-etika-penelitian"/>
    <w:p>
      <w:pPr>
        <w:pStyle w:val="Heading3"/>
      </w:pPr>
      <w:r>
        <w:t xml:space="preserve">1.2.1 Prinsip Etika Penelitian</w:t>
      </w:r>
    </w:p>
    <w:p>
      <w:pPr>
        <w:pStyle w:val="FirstParagraph"/>
      </w:pPr>
      <w:r>
        <w:t xml:space="preserve">Sejarah kelam eksperimen medis tidak etis — dari studi Tuskegee</w:t>
      </w:r>
      <w:r>
        <w:t xml:space="preserve"> </w:t>
      </w:r>
      <w:r>
        <w:t xml:space="preserve">tentang sifilis yang membiarkan subjek Black Amerika tidak mendapat</w:t>
      </w:r>
      <w:r>
        <w:t xml:space="preserve"> </w:t>
      </w:r>
      <w:r>
        <w:t xml:space="preserve">terapi penisilin yang tersedia demi kepentingan penelitian, hingga</w:t>
      </w:r>
      <w:r>
        <w:t xml:space="preserve"> </w:t>
      </w:r>
      <w:r>
        <w:t xml:space="preserve">berbagai kasus pengujian obat tanpa informed consent pada populasi</w:t>
      </w:r>
      <w:r>
        <w:t xml:space="preserve"> </w:t>
      </w:r>
      <w:r>
        <w:t xml:space="preserve">negara berkembang — melahirkan kerangka etika penelitian modern yang</w:t>
      </w:r>
      <w:r>
        <w:t xml:space="preserve"> </w:t>
      </w:r>
      <w:r>
        <w:t xml:space="preserve">kita kenal dalam Deklarasi Helsinki (1964, terakhir direvisi 2013) dan</w:t>
      </w:r>
      <w:r>
        <w:t xml:space="preserve"> </w:t>
      </w:r>
      <w:r>
        <w:t xml:space="preserve">Belmont Report (1979). Dokumen-dokumen ini bukan sekadar formalitas</w:t>
      </w:r>
      <w:r>
        <w:t xml:space="preserve"> </w:t>
      </w:r>
      <w:r>
        <w:t xml:space="preserve">regulasi — mereka adalah komitmen moral yang harus diinternalisasi</w:t>
      </w:r>
      <w:r>
        <w:t xml:space="preserve"> </w:t>
      </w:r>
      <w:r>
        <w:t xml:space="preserve">oleh setiap peneliti biomedis.</w:t>
      </w:r>
    </w:p>
    <w:bookmarkStart w:id="32" w:name="X444edaac8f7a0f0a8968e7b9fa7e8984de9f778"/>
    <w:p>
      <w:pPr>
        <w:pStyle w:val="Heading4"/>
      </w:pPr>
      <w:r>
        <w:t xml:space="preserve">a. Prinsip Belmont: Respect, Beneficence, dan Justice dalam Penelitian</w:t>
      </w:r>
    </w:p>
    <w:p>
      <w:pPr>
        <w:pStyle w:val="FirstParagraph"/>
      </w:pPr>
      <w:r>
        <w:t xml:space="preserve">Tiga prinsip Belmont Report yang menjadi landasan etika penelitian</w:t>
      </w:r>
      <w:r>
        <w:t xml:space="preserve"> </w:t>
      </w:r>
      <w:r>
        <w:t xml:space="preserve">biomedis: Respect for Persons (menghormati otonomi individu dan</w:t>
      </w:r>
      <w:r>
        <w:t xml:space="preserve"> </w:t>
      </w:r>
      <w:r>
        <w:t xml:space="preserve">melindungi individu yang otonominya terbatas); Beneficence</w:t>
      </w:r>
      <w:r>
        <w:t xml:space="preserve"> </w:t>
      </w:r>
      <w:r>
        <w:t xml:space="preserve">(memaksimalkan manfaat dan meminimalkan bahaya — meliputi baik</w:t>
      </w:r>
      <w:r>
        <w:t xml:space="preserve"> </w:t>
      </w:r>
      <w:r>
        <w:t xml:space="preserve">kebaikan aktif maupun tidak merugikan); dan Justice (distribusi yang</w:t>
      </w:r>
      <w:r>
        <w:t xml:space="preserve"> </w:t>
      </w:r>
      <w:r>
        <w:t xml:space="preserve">adil antara siapa yang menanggung beban penelitian dan siapa yang</w:t>
      </w:r>
      <w:r>
        <w:t xml:space="preserve"> </w:t>
      </w:r>
      <w:r>
        <w:t xml:space="preserve">mendapat manfaatnya — menghindari eksploitasi kelompok rentan).</w:t>
      </w:r>
    </w:p>
    <w:p>
      <w:pPr>
        <w:pStyle w:val="BodyText"/>
      </w:pPr>
      <w:r>
        <w:t xml:space="preserve">Dalam konteks penelitian obstetri-ginekologi, perempuan hamil adalah</w:t>
      </w:r>
      <w:r>
        <w:t xml:space="preserve"> </w:t>
      </w:r>
      <w:r>
        <w:t xml:space="preserve">populasi yang memerlukan perlindungan khusus karena kerentanan</w:t>
      </w:r>
      <w:r>
        <w:t xml:space="preserve"> </w:t>
      </w:r>
      <w:r>
        <w:t xml:space="preserve">fisiologis kehamilan, ketidakpastian tentang dampak intervensi pada</w:t>
      </w:r>
      <w:r>
        <w:t xml:space="preserve"> </w:t>
      </w:r>
      <w:r>
        <w:t xml:space="preserve">janin, dan potensi tekanan sosial yang mengurangi otonomi pengambilan</w:t>
      </w:r>
      <w:r>
        <w:t xml:space="preserve"> </w:t>
      </w:r>
      <w:r>
        <w:t xml:space="preserve">keputusan. Ini tidak berarti perempuan hamil harus dikecualikan dari</w:t>
      </w:r>
      <w:r>
        <w:t xml:space="preserve"> </w:t>
      </w:r>
      <w:r>
        <w:t xml:space="preserve">penelitian — pengecualian yang berlebihan dari penelitian justru</w:t>
      </w:r>
      <w:r>
        <w:t xml:space="preserve"> </w:t>
      </w:r>
      <w:r>
        <w:t xml:space="preserve">merugikan mereka karena pengetahuan tentang obat dan intervensi pada</w:t>
      </w:r>
      <w:r>
        <w:t xml:space="preserve"> </w:t>
      </w:r>
      <w:r>
        <w:t xml:space="preserve">kehamilan menjadi sangat terbatas.</w:t>
      </w:r>
    </w:p>
    <w:bookmarkEnd w:id="32"/>
    <w:bookmarkStart w:id="33" w:name="Xf9042e4e02197e11a096043dc41ebaf9bd1b5da"/>
    <w:p>
      <w:pPr>
        <w:pStyle w:val="Heading4"/>
      </w:pPr>
      <w:r>
        <w:t xml:space="preserve">b. Prosedur Informed Consent dalam Penelitian Obstetri</w:t>
      </w:r>
    </w:p>
    <w:p>
      <w:pPr>
        <w:pStyle w:val="FirstParagraph"/>
      </w:pPr>
      <w:r>
        <w:t xml:space="preserve">Informed consent untuk penelitian memiliki standar yang lebih tinggi</w:t>
      </w:r>
      <w:r>
        <w:t xml:space="preserve"> </w:t>
      </w:r>
      <w:r>
        <w:t xml:space="preserve">dari informed consent untuk tindakan klinis rutin, karena penelitian</w:t>
      </w:r>
      <w:r>
        <w:t xml:space="preserve"> </w:t>
      </w:r>
      <w:r>
        <w:t xml:space="preserve">melibatkan ketidakpastian yang lebih besar, manfaat bagi individu</w:t>
      </w:r>
      <w:r>
        <w:t xml:space="preserve"> </w:t>
      </w:r>
      <w:r>
        <w:t xml:space="preserve">peserta seringkali tidak langsung, dan peserta berhak untuk menarik diri</w:t>
      </w:r>
      <w:r>
        <w:t xml:space="preserve"> </w:t>
      </w:r>
      <w:r>
        <w:t xml:space="preserve">kapan saja tanpa penalti. Dokumen informed consent penelitian yang valid</w:t>
      </w:r>
      <w:r>
        <w:t xml:space="preserve"> </w:t>
      </w:r>
      <w:r>
        <w:t xml:space="preserve">harus mencantumkan: tujuan dan prosedur penelitian dalam bahasa yang</w:t>
      </w:r>
      <w:r>
        <w:t xml:space="preserve"> </w:t>
      </w:r>
      <w:r>
        <w:t xml:space="preserve">dapat dipahami, risiko dan ketidaknyamanan yang mungkin dialami, manfaat</w:t>
      </w:r>
      <w:r>
        <w:t xml:space="preserve"> </w:t>
      </w:r>
      <w:r>
        <w:t xml:space="preserve">yang mungkin diperoleh peserta maupun masyarakat, kerahasiaan dan</w:t>
      </w:r>
      <w:r>
        <w:t xml:space="preserve"> </w:t>
      </w:r>
      <w:r>
        <w:t xml:space="preserve">bagaimana data akan digunakan, informasi tentang hak untuk menarik diri,</w:t>
      </w:r>
      <w:r>
        <w:t xml:space="preserve"> </w:t>
      </w:r>
      <w:r>
        <w:t xml:space="preserve">dan kontak peneliti untuk pertanyaan.</w:t>
      </w:r>
    </w:p>
    <w:bookmarkEnd w:id="33"/>
    <w:bookmarkStart w:id="34" w:name="X60533eb6be8d06f1f5d9c54035104b752eb430f"/>
    <w:p>
      <w:pPr>
        <w:pStyle w:val="Heading4"/>
      </w:pPr>
      <w:r>
        <w:t xml:space="preserve">c. Proteksi Janin sebagai Subjek Tidak Langsung</w:t>
      </w:r>
    </w:p>
    <w:p>
      <w:pPr>
        <w:pStyle w:val="FirstParagraph"/>
      </w:pPr>
      <w:r>
        <w:t xml:space="preserve">Ketika penelitian melibatkan perempuan hamil, janin menjadi subjek tidak</w:t>
      </w:r>
      <w:r>
        <w:t xml:space="preserve"> </w:t>
      </w:r>
      <w:r>
        <w:t xml:space="preserve">langsung yang tidak dapat memberikan persetujuan. Prinsip etika yang</w:t>
      </w:r>
      <w:r>
        <w:t xml:space="preserve"> </w:t>
      </w:r>
      <w:r>
        <w:t xml:space="preserve">berlaku untuk proteksi janin: penelitian yang melibatkan ibu hamil hanya</w:t>
      </w:r>
      <w:r>
        <w:t xml:space="preserve"> </w:t>
      </w:r>
      <w:r>
        <w:t xml:space="preserve">dapat dilakukan jika risiko bagi janin minimal (untuk penelitian yang</w:t>
      </w:r>
      <w:r>
        <w:t xml:space="preserve"> </w:t>
      </w:r>
      <w:r>
        <w:t xml:space="preserve">tidak bertujuan memberikan manfaat langsung bagi janin) atau jika</w:t>
      </w:r>
      <w:r>
        <w:t xml:space="preserve"> </w:t>
      </w:r>
      <w:r>
        <w:t xml:space="preserve">manfaat yang diharapkan melebihi risiko (untuk penelitian terapeutik);</w:t>
      </w:r>
      <w:r>
        <w:t xml:space="preserve"> </w:t>
      </w:r>
      <w:r>
        <w:t xml:space="preserve">potensi dampak jangka panjang pada janin harus dipertimbangkan secara</w:t>
      </w:r>
      <w:r>
        <w:t xml:space="preserve"> </w:t>
      </w:r>
      <w:r>
        <w:t xml:space="preserve">eksplisit dalam protokol; dan follow-up neonatal dalam penelitian</w:t>
      </w:r>
      <w:r>
        <w:t xml:space="preserve"> </w:t>
      </w:r>
      <w:r>
        <w:t xml:space="preserve">maternal memberikan informasi penting tentang keamanan jangka pendek.</w:t>
      </w:r>
    </w:p>
    <w:bookmarkEnd w:id="34"/>
    <w:bookmarkEnd w:id="35"/>
    <w:bookmarkStart w:id="36" w:name="komite-etik-penelitian-kedokteran"/>
    <w:p>
      <w:pPr>
        <w:pStyle w:val="Heading3"/>
      </w:pPr>
      <w:r>
        <w:t xml:space="preserve">1.2.2 Komite Etik Penelitian Kedokteran</w:t>
      </w:r>
    </w:p>
    <w:p>
      <w:pPr>
        <w:pStyle w:val="FirstParagraph"/>
      </w:pPr>
      <w:r>
        <w:t xml:space="preserve">Komite Etik Penelitian Kesehatan (KEPK) adalah badan independen</w:t>
      </w:r>
      <w:r>
        <w:t xml:space="preserve"> </w:t>
      </w:r>
      <w:r>
        <w:t xml:space="preserve">multi-disiplin yang bertanggung jawab untuk mereview dan menyetujui</w:t>
      </w:r>
      <w:r>
        <w:t xml:space="preserve"> </w:t>
      </w:r>
      <w:r>
        <w:t xml:space="preserve">protokol penelitian yang melibatkan subjek manusia, memastikan bahwa</w:t>
      </w:r>
      <w:r>
        <w:t xml:space="preserve"> </w:t>
      </w:r>
      <w:r>
        <w:t xml:space="preserve">penelitian yang dilakukan memenuhi standar etika yang berlaku. Di</w:t>
      </w:r>
      <w:r>
        <w:t xml:space="preserve"> </w:t>
      </w:r>
      <w:r>
        <w:t xml:space="preserve">Indonesia, KEPK beroperasi di tingkat institusi (universitas, RS,</w:t>
      </w:r>
      <w:r>
        <w:t xml:space="preserve"> </w:t>
      </w:r>
      <w:r>
        <w:t xml:space="preserve">Poltekkes) dan beberapa di antaranya terakreditasi oleh Komisi Nasional</w:t>
      </w:r>
      <w:r>
        <w:t xml:space="preserve"> </w:t>
      </w:r>
      <w:r>
        <w:t xml:space="preserve">Etik Penelitian Kesehatan (KNEPK). Seorang peneliti Obginsos wajib</w:t>
      </w:r>
      <w:r>
        <w:t xml:space="preserve"> </w:t>
      </w:r>
      <w:r>
        <w:t xml:space="preserve">mendapatkan persetujuan KEPK yang terakreditasi sebelum memulai setiap</w:t>
      </w:r>
      <w:r>
        <w:t xml:space="preserve"> </w:t>
      </w:r>
      <w:r>
        <w:t xml:space="preserve">penelitian yang melibatkan subjek manusia.</w:t>
      </w:r>
    </w:p>
    <w:bookmarkEnd w:id="36"/>
    <w:bookmarkStart w:id="37" w:name="perlindungan-kelompok-rentan"/>
    <w:p>
      <w:pPr>
        <w:pStyle w:val="Heading3"/>
      </w:pPr>
      <w:r>
        <w:t xml:space="preserve">1.2.3 Perlindungan Kelompok Rentan</w:t>
      </w:r>
    </w:p>
    <w:p>
      <w:pPr>
        <w:pStyle w:val="FirstParagraph"/>
      </w:pPr>
      <w:r>
        <w:t xml:space="preserve">Selain ibu hamil, penelitian Obginsos sering melibatkan kelompok rentan</w:t>
      </w:r>
      <w:r>
        <w:t xml:space="preserve"> </w:t>
      </w:r>
      <w:r>
        <w:t xml:space="preserve">lainnya yang memerlukan perlindungan tambahan: perempuan yang mengalami</w:t>
      </w:r>
      <w:r>
        <w:t xml:space="preserve"> </w:t>
      </w:r>
      <w:r>
        <w:t xml:space="preserve">kekerasan seksual atau KDRT (berpotensi mengalami re-traumatisasi</w:t>
      </w:r>
      <w:r>
        <w:t xml:space="preserve"> </w:t>
      </w:r>
      <w:r>
        <w:t xml:space="preserve">melalui wawancara yang tidak sensitif), perempuan dengan kondisi mental</w:t>
      </w:r>
      <w:r>
        <w:t xml:space="preserve"> </w:t>
      </w:r>
      <w:r>
        <w:t xml:space="preserve">seperti depresi pascapartum (kapasitas pengambilan keputusan yang</w:t>
      </w:r>
      <w:r>
        <w:t xml:space="preserve"> </w:t>
      </w:r>
      <w:r>
        <w:t xml:space="preserve">mungkin terganggu), dan perempuan dari kelompok sosioekonomi sangat</w:t>
      </w:r>
      <w:r>
        <w:t xml:space="preserve"> </w:t>
      </w:r>
      <w:r>
        <w:t xml:space="preserve">rendah (rentan terhadap inducement yang tidak proporsional). Proteksi</w:t>
      </w:r>
      <w:r>
        <w:t xml:space="preserve"> </w:t>
      </w:r>
      <w:r>
        <w:t xml:space="preserve">untuk kelompok ini mencakup: pelatihan sensitif trauma bagi semua</w:t>
      </w:r>
      <w:r>
        <w:t xml:space="preserve"> </w:t>
      </w:r>
      <w:r>
        <w:t xml:space="preserve">peneliti, prosedur untuk mendeteksi dan merujuk distress, dan pemberian</w:t>
      </w:r>
      <w:r>
        <w:t xml:space="preserve"> </w:t>
      </w:r>
      <w:r>
        <w:t xml:space="preserve">kompensasi yang layak tanpa bersifat coercive.</w:t>
      </w:r>
    </w:p>
    <w:bookmarkEnd w:id="37"/>
    <w:bookmarkEnd w:id="38"/>
    <w:bookmarkStart w:id="46" w:name="penulisan-ilmiah-dan-publikasi"/>
    <w:p>
      <w:pPr>
        <w:pStyle w:val="Heading2"/>
      </w:pPr>
      <w:r>
        <w:t xml:space="preserve">1.3 Penulisan Ilmiah dan Publikasi</w:t>
      </w:r>
    </w:p>
    <w:bookmarkStart w:id="43" w:name="standar-pelaporan-penelitian"/>
    <w:p>
      <w:pPr>
        <w:pStyle w:val="Heading3"/>
      </w:pPr>
      <w:r>
        <w:t xml:space="preserve">1.3.1 Standar Pelaporan Penelitian</w:t>
      </w:r>
    </w:p>
    <w:p>
      <w:pPr>
        <w:pStyle w:val="FirstParagraph"/>
      </w:pPr>
      <w:r>
        <w:t xml:space="preserve">Pelaporan penelitian yang lengkap dan transparan adalah kewajiban ilmiah</w:t>
      </w:r>
      <w:r>
        <w:t xml:space="preserve"> </w:t>
      </w:r>
      <w:r>
        <w:t xml:space="preserve">dan etis. Penelitian yang dilaporkan secara tidak lengkap atau</w:t>
      </w:r>
      <w:r>
        <w:t xml:space="preserve"> </w:t>
      </w:r>
      <w:r>
        <w:t xml:space="preserve">menyesatkan berkontribusi pada 'research waste' — situasi di mana</w:t>
      </w:r>
      <w:r>
        <w:t xml:space="preserve"> </w:t>
      </w:r>
      <w:r>
        <w:t xml:space="preserve">sumber daya yang signifikan diinvestasikan dalam penelitian namun</w:t>
      </w:r>
      <w:r>
        <w:t xml:space="preserve"> </w:t>
      </w:r>
      <w:r>
        <w:t xml:space="preserve">hasilnya tidak dapat digunakan karena tidak dapat direplikasi atau</w:t>
      </w:r>
      <w:r>
        <w:t xml:space="preserve"> </w:t>
      </w:r>
      <w:r>
        <w:t xml:space="preserve">diinterpretasikan dengan tepat. Standar pelaporan yang diterima secara</w:t>
      </w:r>
      <w:r>
        <w:t xml:space="preserve"> </w:t>
      </w:r>
      <w:r>
        <w:t xml:space="preserve">internasional memberikan panduan tentang informasi minimal yang harus</w:t>
      </w:r>
      <w:r>
        <w:t xml:space="preserve"> </w:t>
      </w:r>
      <w:r>
        <w:t xml:space="preserve">dilaporkan untuk setiap jenis studi.</w:t>
      </w:r>
    </w:p>
    <w:bookmarkStart w:id="39" w:name="a.-consort-2010-untuk-uji-klinis-acak"/>
    <w:p>
      <w:pPr>
        <w:pStyle w:val="Heading4"/>
      </w:pPr>
      <w:r>
        <w:t xml:space="preserve">a. CONSORT 2010 untuk Uji Klinis Acak</w:t>
      </w:r>
    </w:p>
    <w:p>
      <w:pPr>
        <w:pStyle w:val="FirstParagraph"/>
      </w:pPr>
      <w:r>
        <w:t xml:space="preserve">CONSORT (Consolidated Standards of Reporting Trials) adalah checklist 25</w:t>
      </w:r>
      <w:r>
        <w:t xml:space="preserve"> </w:t>
      </w:r>
      <w:r>
        <w:t xml:space="preserve">item yang mendefinisikan informasi minimum yang harus dilaporkan dalam</w:t>
      </w:r>
      <w:r>
        <w:t xml:space="preserve"> </w:t>
      </w:r>
      <w:r>
        <w:t xml:space="preserve">manuskrip RCT. Item-item CONSORT mencakup: cara randomisasi (termasuk</w:t>
      </w:r>
      <w:r>
        <w:t xml:space="preserve"> </w:t>
      </w:r>
      <w:r>
        <w:t xml:space="preserve">concealment), blinding, definisi kelompok intervensi dan kontrol, flow</w:t>
      </w:r>
      <w:r>
        <w:t xml:space="preserve"> </w:t>
      </w:r>
      <w:r>
        <w:t xml:space="preserve">diagram peserta dari enrolment hingga analisis (CONSORT flow diagram),</w:t>
      </w:r>
      <w:r>
        <w:t xml:space="preserve"> </w:t>
      </w:r>
      <w:r>
        <w:t xml:space="preserve">ukuran sampel dan perhitungannya, metode statistik, dan laporan lengkap</w:t>
      </w:r>
      <w:r>
        <w:t xml:space="preserve"> </w:t>
      </w:r>
      <w:r>
        <w:t xml:space="preserve">tentang semua outcome yang sudah dipra-spesifikasi. Jurnal-jurnal</w:t>
      </w:r>
      <w:r>
        <w:t xml:space="preserve"> </w:t>
      </w:r>
      <w:r>
        <w:t xml:space="preserve">bereputasi tinggi menolak manuskrip RCT yang tidak disertai CONSORT</w:t>
      </w:r>
      <w:r>
        <w:t xml:space="preserve"> </w:t>
      </w:r>
      <w:r>
        <w:t xml:space="preserve">checklist.</w:t>
      </w:r>
    </w:p>
    <w:bookmarkEnd w:id="39"/>
    <w:bookmarkStart w:id="40" w:name="b.-strobe-untuk-studi-observasional"/>
    <w:p>
      <w:pPr>
        <w:pStyle w:val="Heading4"/>
      </w:pPr>
      <w:r>
        <w:t xml:space="preserve">b. STROBE untuk Studi Observasional</w:t>
      </w:r>
    </w:p>
    <w:p>
      <w:pPr>
        <w:pStyle w:val="FirstParagraph"/>
      </w:pPr>
      <w:r>
        <w:t xml:space="preserve">STROBE (Strengthening the Reporting of Observational Studies in</w:t>
      </w:r>
      <w:r>
        <w:t xml:space="preserve"> </w:t>
      </w:r>
      <w:r>
        <w:t xml:space="preserve">Epidemiology) adalah checklist yang setara untuk studi observasional</w:t>
      </w:r>
      <w:r>
        <w:t xml:space="preserve"> </w:t>
      </w:r>
      <w:r>
        <w:t xml:space="preserve">(kohort, kasus-kontrol, cross-sectional). STROBE menekankan pentingnya</w:t>
      </w:r>
      <w:r>
        <w:t xml:space="preserve"> </w:t>
      </w:r>
      <w:r>
        <w:t xml:space="preserve">deskripsi yang lengkap tentang: metode seleksi partisipan, definisi</w:t>
      </w:r>
      <w:r>
        <w:t xml:space="preserve"> </w:t>
      </w:r>
      <w:r>
        <w:t xml:space="preserve">outcome dan paparan, metode penanganan confounding, dan potensi sumber</w:t>
      </w:r>
      <w:r>
        <w:t xml:space="preserve"> </w:t>
      </w:r>
      <w:r>
        <w:t xml:space="preserve">bias. Pelaporan STROBE yang lengkap memungkinkan pembaca untuk menilai</w:t>
      </w:r>
      <w:r>
        <w:t xml:space="preserve"> </w:t>
      </w:r>
      <w:r>
        <w:t xml:space="preserve">validitas internal dan eksternal studi dan untuk mereplikasi metode.</w:t>
      </w:r>
    </w:p>
    <w:bookmarkEnd w:id="40"/>
    <w:bookmarkStart w:id="41" w:name="Xf0244d4ddd2eebcdddc7a8d9621588ce768e44e"/>
    <w:p>
      <w:pPr>
        <w:pStyle w:val="Heading4"/>
      </w:pPr>
      <w:r>
        <w:t xml:space="preserve">c. PRISMA untuk Systematic Review dan Meta-Analisis</w:t>
      </w:r>
    </w:p>
    <w:p>
      <w:pPr>
        <w:pStyle w:val="FirstParagraph"/>
      </w:pPr>
      <w:r>
        <w:t xml:space="preserve">PRISMA (Preferred Reporting Items for Systematic Reviews and</w:t>
      </w:r>
      <w:r>
        <w:t xml:space="preserve"> </w:t>
      </w:r>
      <w:r>
        <w:t xml:space="preserve">Meta-Analyses) adalah standar pelaporan untuk tinjauan sistematis dan</w:t>
      </w:r>
      <w:r>
        <w:t xml:space="preserve"> </w:t>
      </w:r>
      <w:r>
        <w:t xml:space="preserve">meta-analisis — yang semakin penting di era evidence-based medicine</w:t>
      </w:r>
      <w:r>
        <w:t xml:space="preserve"> </w:t>
      </w:r>
      <w:r>
        <w:t xml:space="preserve">karena mereka mensintesis bukti dari berbagai studi individual. PRISMA</w:t>
      </w:r>
      <w:r>
        <w:t xml:space="preserve"> </w:t>
      </w:r>
      <w:r>
        <w:t xml:space="preserve">mencakup flow diagram yang menggambarkan proses pencarian dan seleksi</w:t>
      </w:r>
      <w:r>
        <w:t xml:space="preserve"> </w:t>
      </w:r>
      <w:r>
        <w:t xml:space="preserve">studi, tabel karakteristik studi yang diinklusi, dan pengungkapan</w:t>
      </w:r>
      <w:r>
        <w:t xml:space="preserve"> </w:t>
      </w:r>
      <w:r>
        <w:t xml:space="preserve">transparansi tentang heterogenitas dan risiko bias.</w:t>
      </w:r>
    </w:p>
    <w:bookmarkEnd w:id="41"/>
    <w:bookmarkStart w:id="42" w:name="d.-coreq-untuk-penelitian-kualitatif"/>
    <w:p>
      <w:pPr>
        <w:pStyle w:val="Heading4"/>
      </w:pPr>
      <w:r>
        <w:t xml:space="preserve">d. COREQ untuk Penelitian Kualitatif</w:t>
      </w:r>
    </w:p>
    <w:p>
      <w:pPr>
        <w:pStyle w:val="FirstParagraph"/>
      </w:pPr>
      <w:r>
        <w:t xml:space="preserve">COREQ (Consolidated Criteria for Reporting Qualitative Research) adalah</w:t>
      </w:r>
      <w:r>
        <w:t xml:space="preserve"> </w:t>
      </w:r>
      <w:r>
        <w:t xml:space="preserve">checklist 32 item untuk studi kualitatif yang mencakup: tim peneliti dan</w:t>
      </w:r>
      <w:r>
        <w:t xml:space="preserve"> </w:t>
      </w:r>
      <w:r>
        <w:t xml:space="preserve">refleksivitas (latar belakang dan posisionalitas peneliti), desain studi</w:t>
      </w:r>
      <w:r>
        <w:t xml:space="preserve"> </w:t>
      </w:r>
      <w:r>
        <w:t xml:space="preserve">(pengambilan sampel, pengumpulan data, saturasi data), dan analisis dan</w:t>
      </w:r>
      <w:r>
        <w:t xml:space="preserve"> </w:t>
      </w:r>
      <w:r>
        <w:t xml:space="preserve">temuan (proses koding, member checking, transferabilitas). Transparansi</w:t>
      </w:r>
      <w:r>
        <w:t xml:space="preserve"> </w:t>
      </w:r>
      <w:r>
        <w:t xml:space="preserve">metodologi kualitatif sangat penting karena rigoritas dalam kualitatif</w:t>
      </w:r>
      <w:r>
        <w:t xml:space="preserve"> </w:t>
      </w:r>
      <w:r>
        <w:t xml:space="preserve">bergantung pada proses yang dapat diaudit, bukan pada statistik.</w:t>
      </w:r>
    </w:p>
    <w:bookmarkEnd w:id="42"/>
    <w:bookmarkEnd w:id="43"/>
    <w:bookmarkStart w:id="44" w:name="X0d4adf7f265f557a42ec72e15e30be779a060c7"/>
    <w:p>
      <w:pPr>
        <w:pStyle w:val="Heading3"/>
      </w:pPr>
      <w:r>
        <w:t xml:space="preserve">1.3.2 Strategi Publikasi di Jurnal Nasional dan Internasional</w:t>
      </w:r>
    </w:p>
    <w:p>
      <w:pPr>
        <w:pStyle w:val="FirstParagraph"/>
      </w:pPr>
      <w:r>
        <w:t xml:space="preserve">Memilih jurnal yang tepat untuk manuskrip Anda adalah keputusan</w:t>
      </w:r>
      <w:r>
        <w:t xml:space="preserve"> </w:t>
      </w:r>
      <w:r>
        <w:t xml:space="preserve">strategis yang signifikan. Pertimbangan utama: kesesuaian scope (apakah</w:t>
      </w:r>
      <w:r>
        <w:t xml:space="preserve"> </w:t>
      </w:r>
      <w:r>
        <w:t xml:space="preserve">topik manuskrip sesuai dengan fokus jurnal?), level bukti yang biasanya</w:t>
      </w:r>
      <w:r>
        <w:t xml:space="preserve"> </w:t>
      </w:r>
      <w:r>
        <w:t xml:space="preserve">diterbitkan jurnal (RCT vs. observasional vs. kualitatif), faktor dampak</w:t>
      </w:r>
      <w:r>
        <w:t xml:space="preserve"> </w:t>
      </w:r>
      <w:r>
        <w:t xml:space="preserve">dan indexing (apakah terindeks di MEDLINE, Scopus?), open access vs.</w:t>
      </w:r>
      <w:r>
        <w:t xml:space="preserve"> </w:t>
      </w:r>
      <w:r>
        <w:t xml:space="preserve">subscription (konsiderasi aksesibilitas dan biaya APC), waktu review</w:t>
      </w:r>
      <w:r>
        <w:t xml:space="preserve"> </w:t>
      </w:r>
      <w:r>
        <w:t xml:space="preserve">(apakah ada tekanan waktu?), dan — penting! — apakah jurnal tersebut</w:t>
      </w:r>
      <w:r>
        <w:t xml:space="preserve"> </w:t>
      </w:r>
      <w:r>
        <w:t xml:space="preserve">bereputasi atau predatory.</w:t>
      </w:r>
    </w:p>
    <w:p>
      <w:pPr>
        <w:pStyle w:val="BodyText"/>
      </w:pPr>
      <w:r>
        <w:t xml:space="preserve">Tanda-tanda jurnal predatory yang harus diwaspadai: email solicitation</w:t>
      </w:r>
      <w:r>
        <w:t xml:space="preserve"> </w:t>
      </w:r>
      <w:r>
        <w:t xml:space="preserve">yang tidak diminta dengan janji penerimaan cepat, biaya publikasi yang</w:t>
      </w:r>
      <w:r>
        <w:t xml:space="preserve"> </w:t>
      </w:r>
      <w:r>
        <w:t xml:space="preserve">diumumkan setelah manuskrip disubmit, tidak adanya proses peer-review</w:t>
      </w:r>
      <w:r>
        <w:t xml:space="preserve"> </w:t>
      </w:r>
      <w:r>
        <w:t xml:space="preserve">yang substantif, informasi editorial board yang tidak dapat</w:t>
      </w:r>
      <w:r>
        <w:t xml:space="preserve"> </w:t>
      </w:r>
      <w:r>
        <w:t xml:space="preserve">diverifikasi, dan tidak terindeks di database bereputasi. Directory of</w:t>
      </w:r>
      <w:r>
        <w:t xml:space="preserve"> </w:t>
      </w:r>
      <w:r>
        <w:t xml:space="preserve">Open Access Journals (DOAJ) dan Scopus/Clarivate author lookup adalah</w:t>
      </w:r>
      <w:r>
        <w:t xml:space="preserve"> </w:t>
      </w:r>
      <w:r>
        <w:t xml:space="preserve">alat untuk memverifikasi legitimasi jurnal.</w:t>
      </w:r>
    </w:p>
    <w:bookmarkEnd w:id="44"/>
    <w:bookmarkStart w:id="45" w:name="Xa287970675dd69f0a40593d7a6e737cda4944ff"/>
    <w:p>
      <w:pPr>
        <w:pStyle w:val="Heading3"/>
      </w:pPr>
      <w:r>
        <w:t xml:space="preserve">1.3.3 Plagiarisme, Integritas Akademik, dan Predatory Journals</w:t>
      </w:r>
    </w:p>
    <w:p>
      <w:pPr>
        <w:pStyle w:val="FirstParagraph"/>
      </w:pPr>
      <w:r>
        <w:t xml:space="preserve">Integritas akademik adalah fondasi kepercayaan publik terhadap sains.</w:t>
      </w:r>
      <w:r>
        <w:t xml:space="preserve"> </w:t>
      </w:r>
      <w:r>
        <w:t xml:space="preserve">Pelanggaran integritas akademik yang paling serius: fabrikasi data</w:t>
      </w:r>
      <w:r>
        <w:t xml:space="preserve"> </w:t>
      </w:r>
      <w:r>
        <w:t xml:space="preserve">(menciptakan data yang tidak ada), falsifikasi data (memanipulasi data</w:t>
      </w:r>
      <w:r>
        <w:t xml:space="preserve"> </w:t>
      </w:r>
      <w:r>
        <w:t xml:space="preserve">yang ada), dan plagiarisme (menggunakan karya orang lain sebagai karya</w:t>
      </w:r>
      <w:r>
        <w:t xml:space="preserve"> </w:t>
      </w:r>
      <w:r>
        <w:t xml:space="preserve">sendiri tanpa atribusi yang tepat). Di Indonesia, kasus-kasus</w:t>
      </w:r>
      <w:r>
        <w:t xml:space="preserve"> </w:t>
      </w:r>
      <w:r>
        <w:t xml:space="preserve">pelanggaran integritas akademik yang terpublikasi dalam beberapa tahun</w:t>
      </w:r>
      <w:r>
        <w:t xml:space="preserve"> </w:t>
      </w:r>
      <w:r>
        <w:t xml:space="preserve">terakhir telah merusak reputasi institusi dan individu yang terlibat</w:t>
      </w:r>
      <w:r>
        <w:t xml:space="preserve"> </w:t>
      </w:r>
      <w:r>
        <w:t xml:space="preserve">secara permanen.</w:t>
      </w:r>
    </w:p>
    <w:p>
      <w:pPr>
        <w:pStyle w:val="BodyText"/>
      </w:pPr>
      <w:r>
        <w:t xml:space="preserve">Alat deteksi plagiarisme seperti Turnitin dan iThenticate kini digunakan</w:t>
      </w:r>
      <w:r>
        <w:t xml:space="preserve"> </w:t>
      </w:r>
      <w:r>
        <w:t xml:space="preserve">secara luas oleh jurnal bereputasi dan institusi akademik. Namun deteksi</w:t>
      </w:r>
      <w:r>
        <w:t xml:space="preserve"> </w:t>
      </w:r>
      <w:r>
        <w:t xml:space="preserve">teknologi tidak dapat menggantikan pemahaman yang benar tentang apa yang</w:t>
      </w:r>
      <w:r>
        <w:t xml:space="preserve"> </w:t>
      </w:r>
      <w:r>
        <w:t xml:space="preserve">dimaksud dengan atribusi yang tepat: menggunakan ide orang lain tanpa</w:t>
      </w:r>
      <w:r>
        <w:t xml:space="preserve"> </w:t>
      </w:r>
      <w:r>
        <w:t xml:space="preserve">mengutipnya adalah plagiarisme meskipun kalimatnya sudah diparafrasekan;</w:t>
      </w:r>
      <w:r>
        <w:t xml:space="preserve"> </w:t>
      </w:r>
      <w:r>
        <w:t xml:space="preserve">mempublikasikan hasil yang sama dalam dua jurnal berbeda tanpa</w:t>
      </w:r>
      <w:r>
        <w:t xml:space="preserve"> </w:t>
      </w:r>
      <w:r>
        <w:t xml:space="preserve">pengungkapan (duplicate publication) melanggar etika publikasi; dan</w:t>
      </w:r>
      <w:r>
        <w:t xml:space="preserve"> </w:t>
      </w:r>
      <w:r>
        <w:t xml:space="preserve">tidak mencantumkan semua kontributor yang bermakna sebagai penulis</w:t>
      </w:r>
      <w:r>
        <w:t xml:space="preserve"> </w:t>
      </w:r>
      <w:r>
        <w:t xml:space="preserve">(honorary authorship/ghost authorship) adalah bentuk malpraktik</w:t>
      </w:r>
      <w:r>
        <w:t xml:space="preserve"> </w:t>
      </w:r>
      <w:r>
        <w:t xml:space="preserve">akademik.</w:t>
      </w:r>
    </w:p>
    <w:bookmarkEnd w:id="45"/>
    <w:bookmarkEnd w:id="46"/>
    <w:bookmarkStart w:id="48" w:name="Xf84b8d29a8548c60301a59dd0933b3f3daf1e77"/>
    <w:p>
      <w:pPr>
        <w:pStyle w:val="Heading2"/>
      </w:pPr>
      <w:r>
        <w:t xml:space="preserve">1.4 Systematic Review dan Meta-Analisis dalam Obginsos</w:t>
      </w:r>
    </w:p>
    <w:p>
      <w:pPr>
        <w:pStyle w:val="FirstParagraph"/>
      </w:pPr>
      <w:r>
        <w:t xml:space="preserve">Systematic review dan meta-analisis menempati puncak hierarki bukti</w:t>
      </w:r>
      <w:r>
        <w:t xml:space="preserve"> </w:t>
      </w:r>
      <w:r>
        <w:t xml:space="preserve">dalam kedokteran berbasis bukti — mereka mensintesis temuan dari</w:t>
      </w:r>
      <w:r>
        <w:t xml:space="preserve"> </w:t>
      </w:r>
      <w:r>
        <w:t xml:space="preserve">banyak studi individual untuk menghasilkan estimasi efek yang lebih</w:t>
      </w:r>
      <w:r>
        <w:t xml:space="preserve"> </w:t>
      </w:r>
      <w:r>
        <w:t xml:space="preserve">presisi dan lebih dapat digeneralisasi. Kompetensi dalam membaca,</w:t>
      </w:r>
      <w:r>
        <w:t xml:space="preserve"> </w:t>
      </w:r>
      <w:r>
        <w:t xml:space="preserve">mengevaluasi, dan — pada tingkat yang lebih tinggi — melakukan</w:t>
      </w:r>
      <w:r>
        <w:t xml:space="preserve"> </w:t>
      </w:r>
      <w:r>
        <w:t xml:space="preserve">systematic review adalah bagian dari standar akademis seorang</w:t>
      </w:r>
      <w:r>
        <w:t xml:space="preserve"> </w:t>
      </w:r>
      <w:r>
        <w:t xml:space="preserve">subspesialis.</w:t>
      </w:r>
    </w:p>
    <w:p>
      <w:pPr>
        <w:pStyle w:val="BodyText"/>
      </w:pPr>
      <w:r>
        <w:t xml:space="preserve">Langkah-langkah systematic review yang terstandar mengikuti panduan</w:t>
      </w:r>
      <w:r>
        <w:t xml:space="preserve"> </w:t>
      </w:r>
      <w:r>
        <w:t xml:space="preserve">Cochrane: (1) Perumusan pertanyaan penelitian menggunakan format PICO</w:t>
      </w:r>
      <w:r>
        <w:t xml:space="preserve"> </w:t>
      </w:r>
      <w:r>
        <w:t xml:space="preserve">(Population, Intervention, Comparison, Outcome); (2) Pengembangan</w:t>
      </w:r>
      <w:r>
        <w:t xml:space="preserve"> </w:t>
      </w:r>
      <w:r>
        <w:t xml:space="preserve">strategi pencarian yang komprehensif untuk database utama (PubMed,</w:t>
      </w:r>
      <w:r>
        <w:t xml:space="preserve"> </w:t>
      </w:r>
      <w:r>
        <w:t xml:space="preserve">EMBASE, CINAHL, Cochrane Library, WHO ICTRP); (3) Skrining judul dan</w:t>
      </w:r>
      <w:r>
        <w:t xml:space="preserve"> </w:t>
      </w:r>
      <w:r>
        <w:t xml:space="preserve">abstrak secara independen oleh dua reviewer; (4) Penilaian full text</w:t>
      </w:r>
      <w:r>
        <w:t xml:space="preserve"> </w:t>
      </w:r>
      <w:r>
        <w:t xml:space="preserve">artikel yang lolos skrining; (5) Ekstraksi data menggunakan form yang</w:t>
      </w:r>
      <w:r>
        <w:t xml:space="preserve"> </w:t>
      </w:r>
      <w:r>
        <w:t xml:space="preserve">terstandar; (6) Penilaian risiko bias menggunakan alat yang sesuai</w:t>
      </w:r>
      <w:r>
        <w:t xml:space="preserve"> </w:t>
      </w:r>
      <w:r>
        <w:t xml:space="preserve">(Cochrane RoB 2 untuk RCT, ROBINS-I untuk studi observasional); (7)</w:t>
      </w:r>
      <w:r>
        <w:t xml:space="preserve"> </w:t>
      </w:r>
      <w:r>
        <w:t xml:space="preserve">Sintesis data menggunakan meta-analisis jika heterogenitas memungkinkan;</w:t>
      </w:r>
      <w:r>
        <w:t xml:space="preserve"> </w:t>
      </w:r>
      <w:r>
        <w:t xml:space="preserve">(8) Penilaian kualitas bukti menggunakan GRADE framework; (9) Penulisan</w:t>
      </w:r>
      <w:r>
        <w:t xml:space="preserve"> </w:t>
      </w:r>
      <w:r>
        <w:t xml:space="preserve">laporan mengikuti standar PRISMA.</w:t>
      </w:r>
    </w:p>
    <w:bookmarkStart w:id="47" w:name="meta-analisis-konsep-dan-interpretasi"/>
    <w:p>
      <w:pPr>
        <w:pStyle w:val="Heading3"/>
      </w:pPr>
      <w:r>
        <w:t xml:space="preserve">1.4.1 Meta-Analisis: Konsep dan Interpretasi</w:t>
      </w:r>
    </w:p>
    <w:p>
      <w:pPr>
        <w:pStyle w:val="FirstParagraph"/>
      </w:pPr>
      <w:r>
        <w:t xml:space="preserve">Meta-analisis adalah teknik statistik yang menggabungkan hasil dari</w:t>
      </w:r>
      <w:r>
        <w:t xml:space="preserve"> </w:t>
      </w:r>
      <w:r>
        <w:t xml:space="preserve">studi-studi yang secara metodologi dapat digabungkan untuk menghasilkan</w:t>
      </w:r>
      <w:r>
        <w:t xml:space="preserve"> </w:t>
      </w:r>
      <w:r>
        <w:t xml:space="preserve">estimasi efek keseluruhan yang lebih presisi. Output utama meta-analisis</w:t>
      </w:r>
      <w:r>
        <w:t xml:space="preserve"> </w:t>
      </w:r>
      <w:r>
        <w:t xml:space="preserve">adalah forest plot yang memvisualisasikan efek masing-masing studi dan</w:t>
      </w:r>
      <w:r>
        <w:t xml:space="preserve"> </w:t>
      </w:r>
      <w:r>
        <w:t xml:space="preserve">estimasi gabungannya, serta ukuran heterogenitas (I² statistic) yang</w:t>
      </w:r>
      <w:r>
        <w:t xml:space="preserve"> </w:t>
      </w:r>
      <w:r>
        <w:t xml:space="preserve">mengindikasikan seberapa besar variasi antara studi yang tidak dapat</w:t>
      </w:r>
      <w:r>
        <w:t xml:space="preserve"> </w:t>
      </w:r>
      <w:r>
        <w:t xml:space="preserve">dijelaskan oleh kebetulan semata. I² &gt; 75% mengindikasikan</w:t>
      </w:r>
      <w:r>
        <w:t xml:space="preserve"> </w:t>
      </w:r>
      <w:r>
        <w:t xml:space="preserve">heterogenitas substansial yang biasanya memerlukan analisis subgroup</w:t>
      </w:r>
      <w:r>
        <w:t xml:space="preserve"> </w:t>
      </w:r>
      <w:r>
        <w:t xml:space="preserve">untuk memahami sumber variasi.</w:t>
      </w:r>
    </w:p>
    <w:bookmarkEnd w:id="47"/>
    <w:bookmarkEnd w:id="48"/>
    <w:bookmarkStart w:id="50" w:name="X367745a0d7ad7e349dfb84bf4c9226eec7ae88e"/>
    <w:p>
      <w:pPr>
        <w:pStyle w:val="Heading2"/>
      </w:pPr>
      <w:r>
        <w:t xml:space="preserve">1.5 Pemanfaatan Kecerdasan Buatan dalam Penelitian</w:t>
      </w:r>
    </w:p>
    <w:p>
      <w:pPr>
        <w:pStyle w:val="FirstParagraph"/>
      </w:pPr>
      <w:r>
        <w:t xml:space="preserve">Kecerdasan buatan sedang mengubah metodologi penelitian dengan cara yang</w:t>
      </w:r>
      <w:r>
        <w:t xml:space="preserve"> </w:t>
      </w:r>
      <w:r>
        <w:t xml:space="preserve">belum pernah terjadi sebelumnya. Large Language Models (LLM) dapat</w:t>
      </w:r>
      <w:r>
        <w:t xml:space="preserve"> </w:t>
      </w:r>
      <w:r>
        <w:t xml:space="preserve">membantu peneliti dalam: penyusunan tinjauan literatur awal,</w:t>
      </w:r>
      <w:r>
        <w:t xml:space="preserve"> </w:t>
      </w:r>
      <w:r>
        <w:t xml:space="preserve">identifikasi gap penelitian, formulasi hipotesis, dan — dalam batas</w:t>
      </w:r>
      <w:r>
        <w:t xml:space="preserve"> </w:t>
      </w:r>
      <w:r>
        <w:t xml:space="preserve">etika yang jelas — dalam penulisan awal manuskrip. Namun penggunaan AI</w:t>
      </w:r>
      <w:r>
        <w:t xml:space="preserve"> </w:t>
      </w:r>
      <w:r>
        <w:t xml:space="preserve">dalam penelitian memerlukan transparansi: setiap penggunaan AI dalam</w:t>
      </w:r>
      <w:r>
        <w:t xml:space="preserve"> </w:t>
      </w:r>
      <w:r>
        <w:t xml:space="preserve">proses penelitian dan penulisan harus diungkapkan secara eksplisit</w:t>
      </w:r>
      <w:r>
        <w:t xml:space="preserve"> </w:t>
      </w:r>
      <w:r>
        <w:t xml:space="preserve">kepada pembaca dan editor jurnal. Beberapa jurnal sudah mewajibkan</w:t>
      </w:r>
      <w:r>
        <w:t xml:space="preserve"> </w:t>
      </w:r>
      <w:r>
        <w:t xml:space="preserve">disclosure ini; yang tidak memerlukannya bukan berarti penggunaan AI</w:t>
      </w:r>
      <w:r>
        <w:t xml:space="preserve"> </w:t>
      </w:r>
      <w:r>
        <w:t xml:space="preserve">diterima tanpa pengungkapan.</w:t>
      </w:r>
    </w:p>
    <w:bookmarkStart w:id="49" w:name="Xf43610a7430069b9711b9063c72e5726f307253"/>
    <w:p>
      <w:pPr>
        <w:pStyle w:val="Heading3"/>
      </w:pPr>
      <w:r>
        <w:t xml:space="preserve">Referensi — BAB 1 — Metodologi Penelitian dan Penulisan Ilmiah</w:t>
      </w:r>
    </w:p>
    <w:p>
      <w:pPr>
        <w:numPr>
          <w:ilvl w:val="0"/>
          <w:numId w:val="1001"/>
        </w:numPr>
      </w:pPr>
      <w:r>
        <w:t xml:space="preserve">Hulley SB, Cummings SR, Browner WS, et al. (2013). Designing</w:t>
      </w:r>
      <w:r>
        <w:t xml:space="preserve"> </w:t>
      </w:r>
      <w:r>
        <w:t xml:space="preserve">Clinical Research. 4th ed. Philadelphia: Lippincott Williams &amp;</w:t>
      </w:r>
      <w:r>
        <w:t xml:space="preserve"> </w:t>
      </w:r>
      <w:r>
        <w:t xml:space="preserve">Wilkins.</w:t>
      </w:r>
    </w:p>
    <w:p>
      <w:pPr>
        <w:numPr>
          <w:ilvl w:val="0"/>
          <w:numId w:val="1001"/>
        </w:numPr>
      </w:pPr>
      <w:r>
        <w:t xml:space="preserve">Higgins JPT, Thomas J, Chandler J, et al. (eds). (2022). Cochrane</w:t>
      </w:r>
      <w:r>
        <w:t xml:space="preserve"> </w:t>
      </w:r>
      <w:r>
        <w:t xml:space="preserve">Handbook for Systematic Reviews of Interventions. Version 6.3.</w:t>
      </w:r>
      <w:r>
        <w:t xml:space="preserve"> </w:t>
      </w:r>
      <w:r>
        <w:t xml:space="preserve">Cochrane. https://training.cochrane.org/handbook</w:t>
      </w:r>
    </w:p>
    <w:p>
      <w:pPr>
        <w:numPr>
          <w:ilvl w:val="0"/>
          <w:numId w:val="1001"/>
        </w:numPr>
      </w:pPr>
      <w:r>
        <w:t xml:space="preserve">Creswell JW, Creswell JD. (2017). Research Design: Qualitative,</w:t>
      </w:r>
      <w:r>
        <w:t xml:space="preserve"> </w:t>
      </w:r>
      <w:r>
        <w:t xml:space="preserve">Quantitative, and Mixed Methods Approaches. 5th ed. Los Angeles:</w:t>
      </w:r>
      <w:r>
        <w:t xml:space="preserve"> </w:t>
      </w:r>
      <w:r>
        <w:t xml:space="preserve">SAGE.</w:t>
      </w:r>
    </w:p>
    <w:p>
      <w:pPr>
        <w:numPr>
          <w:ilvl w:val="0"/>
          <w:numId w:val="1001"/>
        </w:numPr>
      </w:pPr>
      <w:r>
        <w:t xml:space="preserve">Straus SE, Glasziou P, Richardson WS, et al. (2018). Evidence-Based</w:t>
      </w:r>
      <w:r>
        <w:t xml:space="preserve"> </w:t>
      </w:r>
      <w:r>
        <w:t xml:space="preserve">Medicine: How to Practice and Teach EBM. 5th ed. Edinburgh:</w:t>
      </w:r>
      <w:r>
        <w:t xml:space="preserve"> </w:t>
      </w:r>
      <w:r>
        <w:t xml:space="preserve">Elsevier.</w:t>
      </w:r>
    </w:p>
    <w:p>
      <w:pPr>
        <w:numPr>
          <w:ilvl w:val="0"/>
          <w:numId w:val="1001"/>
        </w:numPr>
      </w:pPr>
      <w:r>
        <w:t xml:space="preserve">Moher D, Liberati A, Tetzlaff J, et al. (2009). Preferred reporting</w:t>
      </w:r>
      <w:r>
        <w:t xml:space="preserve"> </w:t>
      </w:r>
      <w:r>
        <w:t xml:space="preserve">items for systematic reviews and meta-analyses: the PRISMA</w:t>
      </w:r>
      <w:r>
        <w:t xml:space="preserve"> </w:t>
      </w:r>
      <w:r>
        <w:t xml:space="preserve">statement. PLoS Medicine, 6(7):e1000097.</w:t>
      </w:r>
      <w:r>
        <w:t xml:space="preserve"> </w:t>
      </w:r>
      <w:r>
        <w:t xml:space="preserve">https://doi.org/10.1371/journal.pmed.1000097</w:t>
      </w:r>
    </w:p>
    <w:p>
      <w:pPr>
        <w:numPr>
          <w:ilvl w:val="0"/>
          <w:numId w:val="1001"/>
        </w:numPr>
      </w:pPr>
      <w:r>
        <w:t xml:space="preserve">Schulz KF, Altman DG, Moher D, for the CONSORT Group. (2010).</w:t>
      </w:r>
      <w:r>
        <w:t xml:space="preserve"> </w:t>
      </w:r>
      <w:r>
        <w:t xml:space="preserve">CONSORT 2010 Statement: updated guidelines for reporting parallel</w:t>
      </w:r>
      <w:r>
        <w:t xml:space="preserve"> </w:t>
      </w:r>
      <w:r>
        <w:t xml:space="preserve">group randomised trials. BMJ, 340:c332.</w:t>
      </w:r>
      <w:r>
        <w:t xml:space="preserve"> </w:t>
      </w:r>
      <w:r>
        <w:t xml:space="preserve">https://doi.org/10.1136/bmj.c332</w:t>
      </w:r>
    </w:p>
    <w:p>
      <w:pPr>
        <w:numPr>
          <w:ilvl w:val="0"/>
          <w:numId w:val="1001"/>
        </w:numPr>
      </w:pPr>
      <w:r>
        <w:t xml:space="preserve">Vandenbroucke JP, von Elm E, Altman DG, et al. (2007). Strengthening</w:t>
      </w:r>
      <w:r>
        <w:t xml:space="preserve"> </w:t>
      </w:r>
      <w:r>
        <w:t xml:space="preserve">the Reporting of Observational Studies in Epidemiology (STROBE).</w:t>
      </w:r>
      <w:r>
        <w:t xml:space="preserve"> </w:t>
      </w:r>
      <w:r>
        <w:t xml:space="preserve">PLoS Medicine, 4(10):e297.</w:t>
      </w:r>
      <w:r>
        <w:t xml:space="preserve"> </w:t>
      </w:r>
      <w:r>
        <w:t xml:space="preserve">https://doi.org/10.1371/journal.pmed.0040297</w:t>
      </w:r>
    </w:p>
    <w:p>
      <w:pPr>
        <w:numPr>
          <w:ilvl w:val="0"/>
          <w:numId w:val="1001"/>
        </w:numPr>
      </w:pPr>
      <w:r>
        <w:t xml:space="preserve">International Committee of Medical Journal Editors (ICMJE). (2023).</w:t>
      </w:r>
      <w:r>
        <w:t xml:space="preserve"> </w:t>
      </w:r>
      <w:r>
        <w:t xml:space="preserve">Recommendations for the Conduct, Reporting, Editing, and Publication</w:t>
      </w:r>
      <w:r>
        <w:t xml:space="preserve"> </w:t>
      </w:r>
      <w:r>
        <w:t xml:space="preserve">of Scholarly Work in Medical Journals.</w:t>
      </w:r>
      <w:r>
        <w:t xml:space="preserve"> </w:t>
      </w:r>
      <w:r>
        <w:t xml:space="preserve">https://www.icmje.org/recommendations/</w:t>
      </w:r>
    </w:p>
    <w:p>
      <w:pPr>
        <w:numPr>
          <w:ilvl w:val="0"/>
          <w:numId w:val="1001"/>
        </w:numPr>
      </w:pPr>
      <w:r>
        <w:t xml:space="preserve">Komite Nasional Etik Penelitian Kesehatan (KNEPK). (2017). Pedoman</w:t>
      </w:r>
      <w:r>
        <w:t xml:space="preserve"> </w:t>
      </w:r>
      <w:r>
        <w:t xml:space="preserve">Nasional Etik Penelitian Kesehatan. Jakarta: Kemenkes RI.</w:t>
      </w:r>
      <w:r>
        <w:t xml:space="preserve"> </w:t>
      </w:r>
      <w:r>
        <w:t xml:space="preserve">https://www.kemkes.go.id</w:t>
      </w:r>
    </w:p>
    <w:p>
      <w:pPr>
        <w:numPr>
          <w:ilvl w:val="0"/>
          <w:numId w:val="1001"/>
        </w:numPr>
      </w:pPr>
      <w:r>
        <w:t xml:space="preserve">Retraction Watch Database. (2024). Retraction Watch — Tracking</w:t>
      </w:r>
      <w:r>
        <w:t xml:space="preserve"> </w:t>
      </w:r>
      <w:r>
        <w:t xml:space="preserve">Retractions as a Window into the Scientific Process.</w:t>
      </w:r>
      <w:r>
        <w:t xml:space="preserve"> </w:t>
      </w:r>
      <w:r>
        <w:t xml:space="preserve">https://retractionwatch.com</w:t>
      </w:r>
    </w:p>
    <w:p>
      <w:pPr>
        <w:pStyle w:val="FirstParagraph"/>
      </w:pPr>
      <w:r>
        <w:rPr>
          <w:bCs/>
          <w:b/>
        </w:rPr>
        <w:t xml:space="preserve">BAB 2</w:t>
      </w:r>
    </w:p>
    <w:p>
      <w:pPr>
        <w:pStyle w:val="BodyText"/>
      </w:pPr>
      <w:r>
        <w:rPr>
          <w:bCs/>
          <w:b/>
        </w:rPr>
        <w:t xml:space="preserve">PROGRAM GLOBAL DAN SDGs</w:t>
      </w:r>
    </w:p>
    <w:p>
      <w:pPr>
        <w:pStyle w:val="BodyText"/>
      </w:pPr>
      <w:r>
        <w:rPr>
          <w:iCs/>
          <w:i/>
        </w:rPr>
        <w:t xml:space="preserve">Indonesia dalam ekosistem kesehatan maternal global — komitmen,</w:t>
      </w:r>
      <w:r>
        <w:rPr>
          <w:iCs/>
          <w:i/>
        </w:rPr>
        <w:t xml:space="preserve"> </w:t>
      </w:r>
      <w:r>
        <w:rPr>
          <w:iCs/>
          <w:i/>
        </w:rPr>
        <w:t xml:space="preserve">kontribusi, dan peluang belajar</w:t>
      </w:r>
    </w:p>
    <w:tbl>
      <w:tblPr>
        <w:tblStyle w:val="Table"/>
        <w:tblW w:type="pct" w:w="4865"/>
        <w:tblLook w:firstRow="0" w:lastRow="0" w:firstColumn="0" w:lastColumn="0" w:noHBand="0" w:noVBand="0" w:val="0000"/>
        <w:jc w:val="start"/>
      </w:tblPr>
      <w:tblGrid>
        <w:gridCol w:w="7705"/>
      </w:tblGrid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🎯 TUJUAN PEMBELAJARAN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1.</w:t>
            </w:r>
            <w:r>
              <w:t xml:space="preserve"> </w:t>
            </w:r>
            <w:r>
              <w:t xml:space="preserve">Menganalisis target SDG 3 dan 5 yang relevan dengan kesehatan</w:t>
            </w:r>
            <w:r>
              <w:t xml:space="preserve"> </w:t>
            </w:r>
            <w:r>
              <w:t xml:space="preserve">reproduksi dan posisi Indonesia dalam pencapaiannya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2.</w:t>
            </w:r>
            <w:r>
              <w:t xml:space="preserve"> </w:t>
            </w:r>
            <w:r>
              <w:t xml:space="preserve">Menjelaskan program WHO MPDSR dan mengimplementasikannya dalam</w:t>
            </w:r>
            <w:r>
              <w:t xml:space="preserve"> </w:t>
            </w:r>
            <w:r>
              <w:t xml:space="preserve">sistem AMP di tingkat fasilitas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3.</w:t>
            </w:r>
            <w:r>
              <w:t xml:space="preserve"> </w:t>
            </w:r>
            <w:r>
              <w:t xml:space="preserve">Mengidentifikasi best practices global yang dapat diadaptasi</w:t>
            </w:r>
            <w:r>
              <w:t xml:space="preserve"> </w:t>
            </w:r>
            <w:r>
              <w:t xml:space="preserve">untuk konteks Indonesia dengan justifikasi yang kuat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4.</w:t>
            </w:r>
            <w:r>
              <w:t xml:space="preserve"> </w:t>
            </w:r>
            <w:r>
              <w:t xml:space="preserve">Merancang kontribusi konkret terhadap pencapaian SDG di tingkat</w:t>
            </w:r>
            <w:r>
              <w:t xml:space="preserve"> </w:t>
            </w:r>
            <w:r>
              <w:t xml:space="preserve">kabupaten/kota berdasarkan data lokal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5.</w:t>
            </w:r>
            <w:r>
              <w:t xml:space="preserve"> </w:t>
            </w:r>
            <w:r>
              <w:t xml:space="preserve">Memahami mekanisme pelaporan internasional Indonesia dan</w:t>
            </w:r>
            <w:r>
              <w:t xml:space="preserve"> </w:t>
            </w:r>
            <w:r>
              <w:t xml:space="preserve">implikasinya bagi kebijakan nasional</w:t>
            </w:r>
          </w:p>
        </w:tc>
      </w:tr>
    </w:tbl>
    <w:bookmarkEnd w:id="49"/>
    <w:bookmarkEnd w:id="50"/>
    <w:bookmarkStart w:id="58" w:name="Xc7b2325bdcc92197e135a055170b9c0f00af364"/>
    <w:p>
      <w:pPr>
        <w:pStyle w:val="Heading2"/>
      </w:pPr>
      <w:r>
        <w:t xml:space="preserve">2.1 Sustainable Development Goals dan Kesehatan Reproduksi</w:t>
      </w:r>
    </w:p>
    <w:p>
      <w:pPr>
        <w:pStyle w:val="FirstParagraph"/>
      </w:pPr>
      <w:r>
        <w:t xml:space="preserve">Sustainable Development Goals adalah komitmen pembangunan global paling</w:t>
      </w:r>
      <w:r>
        <w:t xml:space="preserve"> </w:t>
      </w:r>
      <w:r>
        <w:t xml:space="preserve">ambisius yang pernah disepakati manusia — 17 tujuan, 169 target, dan</w:t>
      </w:r>
      <w:r>
        <w:t xml:space="preserve"> </w:t>
      </w:r>
      <w:r>
        <w:t xml:space="preserve">lebih dari 232 indikator yang saling terkait dalam visi dunia yang bebas</w:t>
      </w:r>
      <w:r>
        <w:t xml:space="preserve"> </w:t>
      </w:r>
      <w:r>
        <w:t xml:space="preserve">dari kemiskinan, ketidaksetaraan, dan kerusakan lingkungan pada 2030.</w:t>
      </w:r>
      <w:r>
        <w:t xml:space="preserve"> </w:t>
      </w:r>
      <w:r>
        <w:t xml:space="preserve">Bagi seorang subspesialis Obginsos di Indonesia, SDG bukan dokumen yang</w:t>
      </w:r>
      <w:r>
        <w:t xml:space="preserve"> </w:t>
      </w:r>
      <w:r>
        <w:t xml:space="preserve">jauh di gedung PBB New York — ia adalah kerangka yang menentukan</w:t>
      </w:r>
      <w:r>
        <w:t xml:space="preserve"> </w:t>
      </w:r>
      <w:r>
        <w:t xml:space="preserve">bagaimana anggaran nasional dialokasikan, indikator mana yang dilaporkan</w:t>
      </w:r>
      <w:r>
        <w:t xml:space="preserve"> </w:t>
      </w:r>
      <w:r>
        <w:t xml:space="preserve">kepada dunia internasional, dan standar apa yang diharapkan dari sistem</w:t>
      </w:r>
      <w:r>
        <w:t xml:space="preserve"> </w:t>
      </w:r>
      <w:r>
        <w:t xml:space="preserve">kesehatan Indonesia di mata komunitas global.</w:t>
      </w:r>
    </w:p>
    <w:bookmarkStart w:id="54" w:name="Xb84794c78263b7459446038881f745add68bb1d"/>
    <w:p>
      <w:pPr>
        <w:pStyle w:val="Heading3"/>
      </w:pPr>
      <w:r>
        <w:t xml:space="preserve">2.1.1 SDG 3: Kesehatan yang Baik dan Kesejahteraan</w:t>
      </w:r>
    </w:p>
    <w:bookmarkStart w:id="51" w:name="a.-target-3.1-angka-kematian-ibu"/>
    <w:p>
      <w:pPr>
        <w:pStyle w:val="Heading4"/>
      </w:pPr>
      <w:r>
        <w:t xml:space="preserve">a. Target 3.1: Angka Kematian Ibu</w:t>
      </w:r>
    </w:p>
    <w:p>
      <w:pPr>
        <w:pStyle w:val="FirstParagraph"/>
      </w:pPr>
      <w:r>
        <w:t xml:space="preserve">Target 3.1 menetapkan pengurangan AKI global ke angka di bawah 70 per</w:t>
      </w:r>
      <w:r>
        <w:t xml:space="preserve"> </w:t>
      </w:r>
      <w:r>
        <w:t xml:space="preserve">100.000 kelahiran hidup pada 2030. Ini adalah target yang sangat</w:t>
      </w:r>
      <w:r>
        <w:t xml:space="preserve"> </w:t>
      </w:r>
      <w:r>
        <w:t xml:space="preserve">ambisius untuk Indonesia yang AKI-nya saat ini berada di sekitar</w:t>
      </w:r>
      <w:r>
        <w:t xml:space="preserve"> </w:t>
      </w:r>
      <w:r>
        <w:t xml:space="preserve">183/100.000 KH — membutuhkan penurunan sekitar 60% dalam kurang dari 4</w:t>
      </w:r>
      <w:r>
        <w:t xml:space="preserve"> </w:t>
      </w:r>
      <w:r>
        <w:t xml:space="preserve">tahun. WHO telah mengembangkan panduan analisis untuk menentukan</w:t>
      </w:r>
      <w:r>
        <w:t xml:space="preserve"> </w:t>
      </w:r>
      <w:r>
        <w:t xml:space="preserve">'komponen minimum' yang harus dipenuhi setiap negara: proporsi</w:t>
      </w:r>
      <w:r>
        <w:t xml:space="preserve"> </w:t>
      </w:r>
      <w:r>
        <w:t xml:space="preserve">persalinan yang ditolong tenaga terampil harus mencapai 90%+, cakupan</w:t>
      </w:r>
      <w:r>
        <w:t xml:space="preserve"> </w:t>
      </w:r>
      <w:r>
        <w:t xml:space="preserve">ANC minimal 4 kunjungan harus mencapai 95%+, dan akses ke perawatan</w:t>
      </w:r>
      <w:r>
        <w:t xml:space="preserve"> </w:t>
      </w:r>
      <w:r>
        <w:t xml:space="preserve">obstetri darurat komprehensif harus tersedia dalam 2 jam bagi &gt;90%</w:t>
      </w:r>
      <w:r>
        <w:t xml:space="preserve"> </w:t>
      </w:r>
      <w:r>
        <w:t xml:space="preserve">populasi.</w:t>
      </w:r>
    </w:p>
    <w:p>
      <w:pPr>
        <w:pStyle w:val="BodyText"/>
      </w:pPr>
      <w:r>
        <w:t xml:space="preserve">Mengapa target ini relevan untuk seorang klinisi yang 'hanya' bekerja</w:t>
      </w:r>
      <w:r>
        <w:t xml:space="preserve"> </w:t>
      </w:r>
      <w:r>
        <w:t xml:space="preserve">di satu RS? Karena setiap kematian maternal yang dapat dicegah di</w:t>
      </w:r>
      <w:r>
        <w:t xml:space="preserve"> </w:t>
      </w:r>
      <w:r>
        <w:t xml:space="preserve">fasilitas Anda adalah satu langkah mundur dari target ini — dan data</w:t>
      </w:r>
      <w:r>
        <w:t xml:space="preserve"> </w:t>
      </w:r>
      <w:r>
        <w:t xml:space="preserve">yang Anda laporkan dalam AMP adalah data yang pada akhirnya</w:t>
      </w:r>
      <w:r>
        <w:t xml:space="preserve"> </w:t>
      </w:r>
      <w:r>
        <w:t xml:space="preserve">berkontribusi pada angka nasional yang dilaporkan ke PBB. Memiliki</w:t>
      </w:r>
      <w:r>
        <w:t xml:space="preserve"> </w:t>
      </w:r>
      <w:r>
        <w:t xml:space="preserve">perspektif global tentang pekerjaan klinis sehari-hari mengubah motivasi</w:t>
      </w:r>
      <w:r>
        <w:t xml:space="preserve"> </w:t>
      </w:r>
      <w:r>
        <w:t xml:space="preserve">dan standar kerja.</w:t>
      </w:r>
    </w:p>
    <w:bookmarkEnd w:id="51"/>
    <w:bookmarkStart w:id="52" w:name="b.-target-3.2-kematian-neonatal"/>
    <w:p>
      <w:pPr>
        <w:pStyle w:val="Heading4"/>
      </w:pPr>
      <w:r>
        <w:t xml:space="preserve">b. Target 3.2: Kematian Neonatal</w:t>
      </w:r>
    </w:p>
    <w:p>
      <w:pPr>
        <w:pStyle w:val="FirstParagraph"/>
      </w:pPr>
      <w:r>
        <w:t xml:space="preserve">Target 3.2 menetapkan AKN di bawah 12/1.000 KH dan angka kematian balita</w:t>
      </w:r>
      <w:r>
        <w:t xml:space="preserve"> </w:t>
      </w:r>
      <w:r>
        <w:t xml:space="preserve">di bawah 25/1.000 KH. Indonesia dengan AKN sekitar 15/1.000 KH harus</w:t>
      </w:r>
      <w:r>
        <w:t xml:space="preserve"> </w:t>
      </w:r>
      <w:r>
        <w:t xml:space="preserve">menurunkan angka ini sekitar 20% dalam 4 tahun — lebih achievable dari</w:t>
      </w:r>
      <w:r>
        <w:t xml:space="preserve"> </w:t>
      </w:r>
      <w:r>
        <w:t xml:space="preserve">target AKI namun tetap memerlukan upaya sistemik yang bermakna.</w:t>
      </w:r>
      <w:r>
        <w:t xml:space="preserve"> </w:t>
      </w:r>
      <w:r>
        <w:t xml:space="preserve">Intervensi berbasis bukti yang memberikan dampak terbesar per rupiah</w:t>
      </w:r>
      <w:r>
        <w:t xml:space="preserve"> </w:t>
      </w:r>
      <w:r>
        <w:t xml:space="preserve">investasi: universal access to essential newborn care (ENC), kangaroo</w:t>
      </w:r>
      <w:r>
        <w:t xml:space="preserve"> </w:t>
      </w:r>
      <w:r>
        <w:t xml:space="preserve">mother care untuk BBLR, dan resusitasi neonatal berkualitas di semua</w:t>
      </w:r>
      <w:r>
        <w:t xml:space="preserve"> </w:t>
      </w:r>
      <w:r>
        <w:t xml:space="preserve">fasilitas persalinan.</w:t>
      </w:r>
    </w:p>
    <w:bookmarkEnd w:id="52"/>
    <w:bookmarkStart w:id="53" w:name="Xcadb89f239d26417939b3a4b7ee52c7fca46740"/>
    <w:p>
      <w:pPr>
        <w:pStyle w:val="Heading4"/>
      </w:pPr>
      <w:r>
        <w:t xml:space="preserve">c. Target 3.7 dan 3.8: Kesehatan Reproduksi dan UHC</w:t>
      </w:r>
    </w:p>
    <w:p>
      <w:pPr>
        <w:pStyle w:val="FirstParagraph"/>
      </w:pPr>
      <w:r>
        <w:t xml:space="preserve">Target 3.7 menetapkan akses universal terhadap layanan kesehatan seksual</w:t>
      </w:r>
      <w:r>
        <w:t xml:space="preserve"> </w:t>
      </w:r>
      <w:r>
        <w:t xml:space="preserve">dan reproduksi pada 2030, termasuk KB, informasi, dan integrasi ke dalam</w:t>
      </w:r>
      <w:r>
        <w:t xml:space="preserve"> </w:t>
      </w:r>
      <w:r>
        <w:t xml:space="preserve">strategi nasional. Target 3.8 menetapkan Universal Health Coverage —</w:t>
      </w:r>
      <w:r>
        <w:t xml:space="preserve"> </w:t>
      </w:r>
      <w:r>
        <w:t xml:space="preserve">akses ke layanan kesehatan esensial berkualitas tanpa kesulitan</w:t>
      </w:r>
      <w:r>
        <w:t xml:space="preserve"> </w:t>
      </w:r>
      <w:r>
        <w:t xml:space="preserve">finansial. Keduanya saling terkait erat dalam konteks Indonesia: JKN</w:t>
      </w:r>
      <w:r>
        <w:t xml:space="preserve"> </w:t>
      </w:r>
      <w:r>
        <w:t xml:space="preserve">adalah instrumen UHC, namun UHC yang sesungguhnya membutuhkan lebih dari</w:t>
      </w:r>
      <w:r>
        <w:t xml:space="preserve"> </w:t>
      </w:r>
      <w:r>
        <w:t xml:space="preserve">sekadar kepemilikan kartu — ia membutuhkan layanan yang benar-benar</w:t>
      </w:r>
      <w:r>
        <w:t xml:space="preserve"> </w:t>
      </w:r>
      <w:r>
        <w:t xml:space="preserve">dapat diakses, berkualitas, dan tanpa beban finansial katastrofik.</w:t>
      </w:r>
    </w:p>
    <w:bookmarkEnd w:id="53"/>
    <w:bookmarkEnd w:id="54"/>
    <w:bookmarkStart w:id="57" w:name="sdg-5-kesetaraan-gender"/>
    <w:p>
      <w:pPr>
        <w:pStyle w:val="Heading3"/>
      </w:pPr>
      <w:r>
        <w:t xml:space="preserve">2.1.2 SDG 5: Kesetaraan Gender</w:t>
      </w:r>
    </w:p>
    <w:bookmarkStart w:id="55" w:name="X094741efed8c47d8cf9c8014a0cafe0bd9aa466"/>
    <w:p>
      <w:pPr>
        <w:pStyle w:val="Heading4"/>
      </w:pPr>
      <w:r>
        <w:t xml:space="preserve">a. Mengapa SDG 5 Adalah SDG Kesehatan Maternal</w:t>
      </w:r>
    </w:p>
    <w:p>
      <w:pPr>
        <w:pStyle w:val="FirstParagraph"/>
      </w:pPr>
      <w:r>
        <w:t xml:space="preserve">Tidak ada negara yang berhasil menurunkan AKI secara dramatis tanpa</w:t>
      </w:r>
      <w:r>
        <w:t xml:space="preserve"> </w:t>
      </w:r>
      <w:r>
        <w:t xml:space="preserve">kemajuan paralel dalam kesetaraan gender. Ini bukan korelasi kebetulan</w:t>
      </w:r>
      <w:r>
        <w:t xml:space="preserve"> </w:t>
      </w:r>
      <w:r>
        <w:t xml:space="preserve">— ini adalah hubungan kausal yang bermakna. Ketika perempuan memiliki</w:t>
      </w:r>
      <w:r>
        <w:t xml:space="preserve"> </w:t>
      </w:r>
      <w:r>
        <w:t xml:space="preserve">pendidikan yang setara dengan laki-laki, ketika mereka memiliki otonomi</w:t>
      </w:r>
      <w:r>
        <w:t xml:space="preserve"> </w:t>
      </w:r>
      <w:r>
        <w:t xml:space="preserve">ekonomi dan keputusan reproduksi, ketika mereka terlindung dari</w:t>
      </w:r>
      <w:r>
        <w:t xml:space="preserve"> </w:t>
      </w:r>
      <w:r>
        <w:t xml:space="preserve">kekerasan berbasis gender, dan ketika mereka memiliki representasi dalam</w:t>
      </w:r>
      <w:r>
        <w:t xml:space="preserve"> </w:t>
      </w:r>
      <w:r>
        <w:t xml:space="preserve">pengambilan keputusan politik — semua faktor ini secara bersama-sama</w:t>
      </w:r>
      <w:r>
        <w:t xml:space="preserve"> </w:t>
      </w:r>
      <w:r>
        <w:t xml:space="preserve">menciptakan lingkungan sosial yang mendukung kesehatan maternal yang</w:t>
      </w:r>
      <w:r>
        <w:t xml:space="preserve"> </w:t>
      </w:r>
      <w:r>
        <w:t xml:space="preserve">optimal.</w:t>
      </w:r>
    </w:p>
    <w:bookmarkEnd w:id="55"/>
    <w:bookmarkStart w:id="56" w:name="X10926a83e09e132a089a19a86725ea7cf9d046a"/>
    <w:p>
      <w:pPr>
        <w:pStyle w:val="Heading4"/>
      </w:pPr>
      <w:r>
        <w:t xml:space="preserve">b. Target 5.2 dan 5.6 dalam Praktik Obginsos</w:t>
      </w:r>
    </w:p>
    <w:p>
      <w:pPr>
        <w:pStyle w:val="FirstParagraph"/>
      </w:pPr>
      <w:r>
        <w:t xml:space="preserve">Target 5.2 (eliminasi kekerasan terhadap perempuan) dan 5.6 (akses</w:t>
      </w:r>
      <w:r>
        <w:t xml:space="preserve"> </w:t>
      </w:r>
      <w:r>
        <w:t xml:space="preserve">universal terhadap kesehatan seksual dan reproduksi) adalah yang paling</w:t>
      </w:r>
      <w:r>
        <w:t xml:space="preserve"> </w:t>
      </w:r>
      <w:r>
        <w:t xml:space="preserve">langsung relevan bagi praktik Obginsos sehari-hari. Setiap kali dokter</w:t>
      </w:r>
      <w:r>
        <w:t xml:space="preserve"> </w:t>
      </w:r>
      <w:r>
        <w:t xml:space="preserve">Obginsos menggunakan instrumen skrining IPV dalam ANC, memberikan</w:t>
      </w:r>
      <w:r>
        <w:t xml:space="preserve"> </w:t>
      </w:r>
      <w:r>
        <w:t xml:space="preserve">konseling kontrasepsi berbasis hak, atau memastikan korban kekerasan</w:t>
      </w:r>
      <w:r>
        <w:t xml:space="preserve"> </w:t>
      </w:r>
      <w:r>
        <w:t xml:space="preserve">seksual mendapat penanganan forensik yang benar — ia sedang</w:t>
      </w:r>
      <w:r>
        <w:t xml:space="preserve"> </w:t>
      </w:r>
      <w:r>
        <w:t xml:space="preserve">berkontribusi pada pencapaian SDG 5, satu pasien dalam satu waktu.</w:t>
      </w:r>
    </w:p>
    <w:bookmarkEnd w:id="56"/>
    <w:bookmarkEnd w:id="57"/>
    <w:bookmarkEnd w:id="58"/>
    <w:bookmarkStart w:id="61" w:name="program-who-dan-unfpa"/>
    <w:p>
      <w:pPr>
        <w:pStyle w:val="Heading2"/>
      </w:pPr>
      <w:r>
        <w:t xml:space="preserve">2.2 Program WHO dan UNFPA</w:t>
      </w:r>
    </w:p>
    <w:bookmarkStart w:id="59" w:name="who-mpdsr-surveillance-and-response"/>
    <w:p>
      <w:pPr>
        <w:pStyle w:val="Heading3"/>
      </w:pPr>
      <w:r>
        <w:t xml:space="preserve">2.2.1 WHO MPDSR — Surveillance and Response</w:t>
      </w:r>
    </w:p>
    <w:p>
      <w:pPr>
        <w:pStyle w:val="FirstParagraph"/>
      </w:pPr>
      <w:r>
        <w:t xml:space="preserve">Maternal and Perinatal Death Surveillance and Response (MPDSR) adalah</w:t>
      </w:r>
      <w:r>
        <w:t xml:space="preserve"> </w:t>
      </w:r>
      <w:r>
        <w:t xml:space="preserve">sistem WHO yang mengintegrasikan surveilans (pengumpulan data kematian</w:t>
      </w:r>
      <w:r>
        <w:t xml:space="preserve"> </w:t>
      </w:r>
      <w:r>
        <w:t xml:space="preserve">yang sistematis) dengan response (penggunaan data untuk tindakan</w:t>
      </w:r>
      <w:r>
        <w:t xml:space="preserve"> </w:t>
      </w:r>
      <w:r>
        <w:t xml:space="preserve">perbaikan). Yang membedakan MPDSR dari sistem audit konvensional adalah</w:t>
      </w:r>
      <w:r>
        <w:t xml:space="preserve"> </w:t>
      </w:r>
      <w:r>
        <w:t xml:space="preserve">komponen 'Response' yang eksplisit — sebuah pengakuan bahwa</w:t>
      </w:r>
      <w:r>
        <w:t xml:space="preserve"> </w:t>
      </w:r>
      <w:r>
        <w:t xml:space="preserve">identifikasi masalah tanpa perubahan sistem yang nyata adalah penelitian</w:t>
      </w:r>
      <w:r>
        <w:t xml:space="preserve"> </w:t>
      </w:r>
      <w:r>
        <w:t xml:space="preserve">yang sia-sia.</w:t>
      </w:r>
    </w:p>
    <w:p>
      <w:pPr>
        <w:pStyle w:val="BodyText"/>
      </w:pPr>
      <w:r>
        <w:t xml:space="preserve">Siklus MPDSR yang ideal: Identifikasi semua kematian maternal dan</w:t>
      </w:r>
      <w:r>
        <w:t xml:space="preserve"> </w:t>
      </w:r>
      <w:r>
        <w:t xml:space="preserve">perinatal → Notifikasi dalam 24 jam → Pengumpulan data rekam medis dan</w:t>
      </w:r>
      <w:r>
        <w:t xml:space="preserve"> </w:t>
      </w:r>
      <w:r>
        <w:t xml:space="preserve">wawancara → Analisis oleh tim multidisiplin → Identifikasi avoidable</w:t>
      </w:r>
      <w:r>
        <w:t xml:space="preserve"> </w:t>
      </w:r>
      <w:r>
        <w:t xml:space="preserve">factors → Pengembangan rekomendasi spesifik → Implementasi rekomendasi →</w:t>
      </w:r>
      <w:r>
        <w:t xml:space="preserve"> </w:t>
      </w:r>
      <w:r>
        <w:t xml:space="preserve">Monitoring dan evaluasi dampak → Laporan ke tingkat yang lebih tinggi.</w:t>
      </w:r>
      <w:r>
        <w:t xml:space="preserve"> </w:t>
      </w:r>
      <w:r>
        <w:t xml:space="preserve">Setiap langkah memiliki penanggung jawab dan tenggat waktu yang jelas.</w:t>
      </w:r>
      <w:r>
        <w:t xml:space="preserve"> </w:t>
      </w:r>
      <w:r>
        <w:t xml:space="preserve">Tanpa akuntabilitas yang jelas untuk setiap langkah, siklus akan putus</w:t>
      </w:r>
      <w:r>
        <w:t xml:space="preserve"> </w:t>
      </w:r>
      <w:r>
        <w:t xml:space="preserve">dan pembelajaran tidak terjadi.</w:t>
      </w:r>
    </w:p>
    <w:bookmarkEnd w:id="59"/>
    <w:bookmarkStart w:id="60" w:name="unfpa-dan-program-fistula-obstetrik"/>
    <w:p>
      <w:pPr>
        <w:pStyle w:val="Heading3"/>
      </w:pPr>
      <w:r>
        <w:t xml:space="preserve">2.2.2 UNFPA dan Program Fistula Obstetrik</w:t>
      </w:r>
    </w:p>
    <w:p>
      <w:pPr>
        <w:pStyle w:val="FirstParagraph"/>
      </w:pPr>
      <w:r>
        <w:t xml:space="preserve">Fistula obstetrik adalah kondisi yang hampir tidak ada di negara maju</w:t>
      </w:r>
      <w:r>
        <w:t xml:space="preserve"> </w:t>
      </w:r>
      <w:r>
        <w:t xml:space="preserve">namun masih ditemukan di Indonesia, terutama di daerah-daerah dengan</w:t>
      </w:r>
      <w:r>
        <w:t xml:space="preserve"> </w:t>
      </w:r>
      <w:r>
        <w:t xml:space="preserve">akses paling terbatas ke persalinan terampil. WHO memperkirakan 2 juta</w:t>
      </w:r>
      <w:r>
        <w:t xml:space="preserve"> </w:t>
      </w:r>
      <w:r>
        <w:t xml:space="preserve">perempuan hidup dengan fistula obstetrik yang tidak dioperasi di seluruh</w:t>
      </w:r>
      <w:r>
        <w:t xml:space="preserve"> </w:t>
      </w:r>
      <w:r>
        <w:t xml:space="preserve">dunia — sebagian besar di Afrika sub-Sahara dan Asia Selatan, namun</w:t>
      </w:r>
      <w:r>
        <w:t xml:space="preserve"> </w:t>
      </w:r>
      <w:r>
        <w:t xml:space="preserve">tidak nol di Indonesia. Program UNFPA untuk fistula obstetrik di</w:t>
      </w:r>
      <w:r>
        <w:t xml:space="preserve"> </w:t>
      </w:r>
      <w:r>
        <w:t xml:space="preserve">Indonesia melibatkan pelatihan bedah fistula untuk SpOG di RS-RS yang</w:t>
      </w:r>
      <w:r>
        <w:t xml:space="preserve"> </w:t>
      </w:r>
      <w:r>
        <w:t xml:space="preserve">melayani daerah terpencil, kampanye penemuan kasus aktif, dan program</w:t>
      </w:r>
      <w:r>
        <w:t xml:space="preserve"> </w:t>
      </w:r>
      <w:r>
        <w:t xml:space="preserve">rehabilitasi psikososial untuk perempuan pasca-operasi.</w:t>
      </w:r>
    </w:p>
    <w:bookmarkEnd w:id="60"/>
    <w:bookmarkEnd w:id="61"/>
    <w:bookmarkStart w:id="66" w:name="pembelajaran-dari-best-practices-global"/>
    <w:p>
      <w:pPr>
        <w:pStyle w:val="Heading2"/>
      </w:pPr>
      <w:r>
        <w:t xml:space="preserve">2.3 Pembelajaran dari Best Practices Global</w:t>
      </w:r>
    </w:p>
    <w:bookmarkStart w:id="62" w:name="rwanda-penurunan-aki-77-dalam-15-tahun"/>
    <w:p>
      <w:pPr>
        <w:pStyle w:val="Heading3"/>
      </w:pPr>
      <w:r>
        <w:t xml:space="preserve">2.3.1 Rwanda: Penurunan AKI 77% dalam 15 Tahun</w:t>
      </w:r>
    </w:p>
    <w:p>
      <w:pPr>
        <w:pStyle w:val="FirstParagraph"/>
      </w:pPr>
      <w:r>
        <w:t xml:space="preserve">Rwanda adalah salah satu kisah sukses penurunan kematian maternal yang</w:t>
      </w:r>
      <w:r>
        <w:t xml:space="preserve"> </w:t>
      </w:r>
      <w:r>
        <w:t xml:space="preserve">paling dramatis dalam sejarah. Dari AKI sekitar 1.000/100.000 KH pada</w:t>
      </w:r>
      <w:r>
        <w:t xml:space="preserve"> </w:t>
      </w:r>
      <w:r>
        <w:t xml:space="preserve">2000 menjadi 203/100.000 KH pada 2015 — penurunan lebih dari 77% dalam</w:t>
      </w:r>
      <w:r>
        <w:t xml:space="preserve"> </w:t>
      </w:r>
      <w:r>
        <w:t xml:space="preserve">15 tahun, jauh melampaui rata-rata global. Faktor-faktor kunci yang</w:t>
      </w:r>
      <w:r>
        <w:t xml:space="preserve"> </w:t>
      </w:r>
      <w:r>
        <w:t xml:space="preserve">dapat diadaptasi Indonesia: sistem community health worker (CHW/Imihigo)</w:t>
      </w:r>
      <w:r>
        <w:t xml:space="preserve"> </w:t>
      </w:r>
      <w:r>
        <w:t xml:space="preserve">yang menjamin setiap desa memiliki tenaga kesehatan terlatih dengan</w:t>
      </w:r>
      <w:r>
        <w:t xml:space="preserve"> </w:t>
      </w:r>
      <w:r>
        <w:t xml:space="preserve">akuntabilitas berbasis kinerja; program mutual health insurance</w:t>
      </w:r>
      <w:r>
        <w:t xml:space="preserve"> </w:t>
      </w:r>
      <w:r>
        <w:t xml:space="preserve">(Mutuelles de Santé) yang mendahului JKN dan berhasil mencapai cakupan</w:t>
      </w:r>
      <w:r>
        <w:t xml:space="preserve"> </w:t>
      </w:r>
      <w:r>
        <w:t xml:space="preserve">&gt;90%; dan komitmen kepemimpinan politik di semua tingkatan untuk</w:t>
      </w:r>
      <w:r>
        <w:t xml:space="preserve"> </w:t>
      </w:r>
      <w:r>
        <w:t xml:space="preserve">menjadikan kesehatan ibu sebagai prioritas anggaran.</w:t>
      </w:r>
    </w:p>
    <w:bookmarkEnd w:id="62"/>
    <w:bookmarkStart w:id="63" w:name="X173bbce90545f6f42377dea488b50cbad27215f"/>
    <w:p>
      <w:pPr>
        <w:pStyle w:val="Heading3"/>
      </w:pPr>
      <w:r>
        <w:t xml:space="preserve">2.3.2 Bangladesh: Meningkatkan Persalinan Fasilitas dari 10% ke 47%</w:t>
      </w:r>
    </w:p>
    <w:p>
      <w:pPr>
        <w:pStyle w:val="FirstParagraph"/>
      </w:pPr>
      <w:r>
        <w:t xml:space="preserve">Bangladesh berhasil meningkatkan cakupan persalinan oleh tenaga terampil</w:t>
      </w:r>
      <w:r>
        <w:t xml:space="preserve"> </w:t>
      </w:r>
      <w:r>
        <w:t xml:space="preserve">dari 10% pada 1990 menjadi 47% pada 2014 — sebuah pencapaian yang luar</w:t>
      </w:r>
      <w:r>
        <w:t xml:space="preserve"> </w:t>
      </w:r>
      <w:r>
        <w:t xml:space="preserve">biasa mengingat tantangan kemiskinan dan kepadatan penduduk yang mirip</w:t>
      </w:r>
      <w:r>
        <w:t xml:space="preserve"> </w:t>
      </w:r>
      <w:r>
        <w:t xml:space="preserve">dengan Indonesia. Kunci keberhasilan yang relevan: program Skilled Birth</w:t>
      </w:r>
      <w:r>
        <w:t xml:space="preserve"> </w:t>
      </w:r>
      <w:r>
        <w:t xml:space="preserve">Attendant (SBA) yang melatih dan mendeploy bidan desa secara massal;</w:t>
      </w:r>
      <w:r>
        <w:t xml:space="preserve"> </w:t>
      </w:r>
      <w:r>
        <w:t xml:space="preserve">program kondisional cash transfer (CCT) yang memberikan insentif tunai</w:t>
      </w:r>
      <w:r>
        <w:t xml:space="preserve"> </w:t>
      </w:r>
      <w:r>
        <w:t xml:space="preserve">bagi ibu hamil yang mengikuti ANC dan bersalin di fasilitas; dan</w:t>
      </w:r>
      <w:r>
        <w:t xml:space="preserve"> </w:t>
      </w:r>
      <w:r>
        <w:t xml:space="preserve">komunitas perempuan yang secara aktif memperjuangkan hak atas layanan</w:t>
      </w:r>
      <w:r>
        <w:t xml:space="preserve"> </w:t>
      </w:r>
      <w:r>
        <w:t xml:space="preserve">kesehatan yang lebih baik.</w:t>
      </w:r>
    </w:p>
    <w:bookmarkEnd w:id="63"/>
    <w:bookmarkStart w:id="64" w:name="prinsip-adaptasi-best-practices"/>
    <w:p>
      <w:pPr>
        <w:pStyle w:val="Heading3"/>
      </w:pPr>
      <w:r>
        <w:t xml:space="preserve">2.3.3 Prinsip Adaptasi Best Practices</w:t>
      </w:r>
    </w:p>
    <w:p>
      <w:pPr>
        <w:pStyle w:val="FirstParagraph"/>
      </w:pPr>
      <w:r>
        <w:t xml:space="preserve">Mengadaptasi best practices bukan menyalinnya secara mekanik — sebuah</w:t>
      </w:r>
      <w:r>
        <w:t xml:space="preserve"> </w:t>
      </w:r>
      <w:r>
        <w:t xml:space="preserve">kesalahan yang sering dilakukan dalam transfer kebijakan internasional.</w:t>
      </w:r>
      <w:r>
        <w:t xml:space="preserve"> </w:t>
      </w:r>
      <w:r>
        <w:t xml:space="preserve">Pertanyaan yang harus selalu diajukan: Faktor struktural apa yang</w:t>
      </w:r>
      <w:r>
        <w:t xml:space="preserve"> </w:t>
      </w:r>
      <w:r>
        <w:t xml:space="preserve">memungkinkan keberhasilan program ini di konteks aslinya? Faktor mana</w:t>
      </w:r>
      <w:r>
        <w:t xml:space="preserve"> </w:t>
      </w:r>
      <w:r>
        <w:t xml:space="preserve">yang ada di Indonesia dan mana yang tidak? Apa yang perlu dimodifikasi</w:t>
      </w:r>
      <w:r>
        <w:t xml:space="preserve"> </w:t>
      </w:r>
      <w:r>
        <w:t xml:space="preserve">secara fundamental? Dan apakah ada bukti bahwa adaptasi serupa sudah</w:t>
      </w:r>
      <w:r>
        <w:t xml:space="preserve"> </w:t>
      </w:r>
      <w:r>
        <w:t xml:space="preserve">pernah dicoba dan berhasil (atau gagal) di konteks yang lebih mirip</w:t>
      </w:r>
      <w:r>
        <w:t xml:space="preserve"> </w:t>
      </w:r>
      <w:r>
        <w:t xml:space="preserve">Indonesia? Seorang subspesialis Obginsos yang berpikir kritis tentang</w:t>
      </w:r>
      <w:r>
        <w:t xml:space="preserve"> </w:t>
      </w:r>
      <w:r>
        <w:t xml:space="preserve">best practices global akan menghasilkan rekomendasi kebijakan yang jauh</w:t>
      </w:r>
      <w:r>
        <w:t xml:space="preserve"> </w:t>
      </w:r>
      <w:r>
        <w:t xml:space="preserve">lebih valuable dari yang hanya 'mengimpor' program.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rPr>
          <w:bCs/>
          <w:b/>
        </w:rPr>
        <w:t xml:space="preserve">BAGIAN VII</w:t>
      </w:r>
    </w:p>
    <w:p>
      <w:pPr>
        <w:pStyle w:val="BodyText"/>
      </w:pPr>
      <w:r>
        <w:rPr>
          <w:bCs/>
          <w:b/>
        </w:rPr>
        <w:t xml:space="preserve">KEAHLIAN KLINIS DAN MANAJEMEN</w:t>
      </w:r>
    </w:p>
    <w:p>
      <w:pPr>
        <w:pStyle w:val="BodyText"/>
      </w:pPr>
      <w:r>
        <w:rPr>
          <w:iCs/>
          <w:i/>
        </w:rPr>
        <w:t xml:space="preserve">Memimpin sistem, bukan hanya melayani pasien</w:t>
      </w:r>
    </w:p>
    <w:p>
      <w:pPr>
        <w:pStyle w:val="BodyText"/>
      </w:pPr>
      <w:r>
        <w:t xml:space="preserve"> </w:t>
      </w:r>
    </w:p>
    <w:bookmarkEnd w:id="64"/>
    <w:bookmarkStart w:id="65" w:name="Xb7a0215743bb4c8a94221fb7bf254e38415a18a"/>
    <w:p>
      <w:pPr>
        <w:pStyle w:val="Heading3"/>
      </w:pPr>
      <w:r>
        <w:t xml:space="preserve">Referensi — BAB 2 — Global Health dan SDGs dalam Kesehatan Reproduksi</w:t>
      </w:r>
    </w:p>
    <w:p>
      <w:pPr>
        <w:numPr>
          <w:ilvl w:val="0"/>
          <w:numId w:val="1002"/>
        </w:numPr>
      </w:pPr>
      <w:r>
        <w:t xml:space="preserve">United Nations. (2015). Transforming Our World: The 2030 Agenda for</w:t>
      </w:r>
      <w:r>
        <w:t xml:space="preserve"> </w:t>
      </w:r>
      <w:r>
        <w:t xml:space="preserve">Sustainable Development. Resolution A/RES/70/1. New York: UN.</w:t>
      </w:r>
      <w:r>
        <w:t xml:space="preserve"> </w:t>
      </w:r>
      <w:r>
        <w:t xml:space="preserve">https://sdgs.un.org/2030agenda</w:t>
      </w:r>
    </w:p>
    <w:p>
      <w:pPr>
        <w:numPr>
          <w:ilvl w:val="0"/>
          <w:numId w:val="1002"/>
        </w:numPr>
      </w:pPr>
      <w:r>
        <w:t xml:space="preserve">World Health Organization. (2015). Strategies toward Ending</w:t>
      </w:r>
      <w:r>
        <w:t xml:space="preserve"> </w:t>
      </w:r>
      <w:r>
        <w:t xml:space="preserve">Preventable Maternal Mortality (EPMM). Geneva: WHO.</w:t>
      </w:r>
      <w:r>
        <w:t xml:space="preserve"> </w:t>
      </w:r>
      <w:r>
        <w:t xml:space="preserve">https://apps.who.int/iris/handle/10665/153544</w:t>
      </w:r>
    </w:p>
    <w:p>
      <w:pPr>
        <w:numPr>
          <w:ilvl w:val="0"/>
          <w:numId w:val="1002"/>
        </w:numPr>
      </w:pPr>
      <w:r>
        <w:t xml:space="preserve">Inter-Agency and Expert Group on SDG Indicators. (2017). Global</w:t>
      </w:r>
      <w:r>
        <w:t xml:space="preserve"> </w:t>
      </w:r>
      <w:r>
        <w:t xml:space="preserve">Indicator Framework for the Sustainable Development Goals. New York:</w:t>
      </w:r>
      <w:r>
        <w:t xml:space="preserve"> </w:t>
      </w:r>
      <w:r>
        <w:t xml:space="preserve">UN Statistical Commission.</w:t>
      </w:r>
      <w:r>
        <w:t xml:space="preserve"> </w:t>
      </w:r>
      <w:r>
        <w:t xml:space="preserve">https://unstats.un.org/sdgs/indicators/indicators-list/</w:t>
      </w:r>
    </w:p>
    <w:p>
      <w:pPr>
        <w:numPr>
          <w:ilvl w:val="0"/>
          <w:numId w:val="1002"/>
        </w:numPr>
      </w:pPr>
      <w:r>
        <w:t xml:space="preserve">UNFPA. (2021). State of World Population 2021: My Body is My Own.</w:t>
      </w:r>
      <w:r>
        <w:t xml:space="preserve"> </w:t>
      </w:r>
      <w:r>
        <w:t xml:space="preserve">New York: UNFPA. https://www.unfpa.org/sowp-2021</w:t>
      </w:r>
    </w:p>
    <w:p>
      <w:pPr>
        <w:numPr>
          <w:ilvl w:val="0"/>
          <w:numId w:val="1002"/>
        </w:numPr>
      </w:pPr>
      <w:r>
        <w:t xml:space="preserve">Bhutta ZA, Das JK, Bahl R, et al. (2014). Can available</w:t>
      </w:r>
      <w:r>
        <w:t xml:space="preserve"> </w:t>
      </w:r>
      <w:r>
        <w:t xml:space="preserve">interventions end preventable deaths in mothers, newborn babies, and</w:t>
      </w:r>
      <w:r>
        <w:t xml:space="preserve"> </w:t>
      </w:r>
      <w:r>
        <w:t xml:space="preserve">stillbirths, and at what cost? Lancet, 384(9940):347–370.</w:t>
      </w:r>
      <w:r>
        <w:t xml:space="preserve"> </w:t>
      </w:r>
      <w:r>
        <w:t xml:space="preserve">https://doi.org/10.1016/S0140-6736(14)60792-3</w:t>
      </w:r>
    </w:p>
    <w:p>
      <w:pPr>
        <w:numPr>
          <w:ilvl w:val="0"/>
          <w:numId w:val="1002"/>
        </w:numPr>
      </w:pPr>
      <w:r>
        <w:t xml:space="preserve">Rwanda Ministry of Health. (2021). Rwanda Community Health</w:t>
      </w:r>
      <w:r>
        <w:t xml:space="preserve"> </w:t>
      </w:r>
      <w:r>
        <w:t xml:space="preserve">Programme: Annual Report 2021. Kigali: Rwanda MOH.</w:t>
      </w:r>
      <w:r>
        <w:t xml:space="preserve"> </w:t>
      </w:r>
      <w:r>
        <w:t xml:space="preserve">https://moh.gov.rw</w:t>
      </w:r>
    </w:p>
    <w:p>
      <w:pPr>
        <w:numPr>
          <w:ilvl w:val="0"/>
          <w:numId w:val="1002"/>
        </w:numPr>
      </w:pPr>
      <w:r>
        <w:t xml:space="preserve">World Health Organization. (2023). Maternal Mortality: Key Facts.</w:t>
      </w:r>
      <w:r>
        <w:t xml:space="preserve"> </w:t>
      </w:r>
      <w:r>
        <w:t xml:space="preserve">Geneva: WHO.</w:t>
      </w:r>
      <w:r>
        <w:t xml:space="preserve"> </w:t>
      </w:r>
      <w:r>
        <w:t xml:space="preserve">https://www.who.int/news-room/fact-sheets/detail/maternal-mortality</w:t>
      </w:r>
    </w:p>
    <w:p>
      <w:pPr>
        <w:numPr>
          <w:ilvl w:val="0"/>
          <w:numId w:val="1002"/>
        </w:numPr>
      </w:pPr>
      <w:r>
        <w:t xml:space="preserve">International Federation of Gynecology and Obstetrics (FIGO).</w:t>
      </w:r>
      <w:r>
        <w:t xml:space="preserve"> </w:t>
      </w:r>
      <w:r>
        <w:t xml:space="preserve">(2021). FIGO Statement on Respectful Maternity Care. London: FIGO.</w:t>
      </w:r>
      <w:r>
        <w:t xml:space="preserve"> </w:t>
      </w:r>
      <w:r>
        <w:t xml:space="preserve">https://www.figo.org/news/figo-statement-respectful-maternity-care</w:t>
      </w:r>
    </w:p>
    <w:p>
      <w:pPr>
        <w:numPr>
          <w:ilvl w:val="0"/>
          <w:numId w:val="1002"/>
        </w:numPr>
      </w:pPr>
      <w:r>
        <w:t xml:space="preserve">Mikkelsen L, Phillips DE, AbouZahr C, et al. (2015). A global</w:t>
      </w:r>
      <w:r>
        <w:t xml:space="preserve"> </w:t>
      </w:r>
      <w:r>
        <w:t xml:space="preserve">assessment of civil registration and vital statistics systems:</w:t>
      </w:r>
      <w:r>
        <w:t xml:space="preserve"> </w:t>
      </w:r>
      <w:r>
        <w:t xml:space="preserve">monitoring data quality and progress. Lancet, 386(10001):1395–1406.</w:t>
      </w:r>
      <w:r>
        <w:t xml:space="preserve"> </w:t>
      </w:r>
      <w:r>
        <w:t xml:space="preserve">https://doi.org/10.1016/S0140-6736(15)60173-8</w:t>
      </w:r>
    </w:p>
    <w:p>
      <w:pPr>
        <w:numPr>
          <w:ilvl w:val="0"/>
          <w:numId w:val="1002"/>
        </w:numPr>
      </w:pPr>
      <w:r>
        <w:t xml:space="preserve">UNFPA. (2020). Obstetric Fistula: Ending a Tragedy. New York: UNFPA.</w:t>
      </w:r>
      <w:r>
        <w:t xml:space="preserve"> </w:t>
      </w:r>
      <w:r>
        <w:t xml:space="preserve">https://www.unfpa.org/obstetric-fistula</w:t>
      </w:r>
    </w:p>
    <w:p>
      <w:pPr>
        <w:pStyle w:val="FirstParagraph"/>
      </w:pPr>
      <w:r>
        <w:rPr>
          <w:bCs/>
          <w:b/>
        </w:rPr>
        <w:t xml:space="preserve">BAB 3</w:t>
      </w:r>
    </w:p>
    <w:p>
      <w:pPr>
        <w:pStyle w:val="BodyText"/>
      </w:pPr>
      <w:r>
        <w:rPr>
          <w:bCs/>
          <w:b/>
        </w:rPr>
        <w:t xml:space="preserve">STUDI KASUS TERPILIH</w:t>
      </w:r>
    </w:p>
    <w:p>
      <w:pPr>
        <w:pStyle w:val="BodyText"/>
      </w:pPr>
      <w:r>
        <w:rPr>
          <w:iCs/>
          <w:i/>
        </w:rPr>
        <w:t xml:space="preserve">Pembelajaran berbasis kasus nyata — mengintegrasikan teori dan</w:t>
      </w:r>
      <w:r>
        <w:rPr>
          <w:iCs/>
          <w:i/>
        </w:rPr>
        <w:t xml:space="preserve"> </w:t>
      </w:r>
      <w:r>
        <w:rPr>
          <w:iCs/>
          <w:i/>
        </w:rPr>
        <w:t xml:space="preserve">praktik Obginsos</w:t>
      </w:r>
    </w:p>
    <w:tbl>
      <w:tblPr>
        <w:tblStyle w:val="Table"/>
        <w:tblW w:type="pct" w:w="4865"/>
        <w:tblLook w:firstRow="0" w:lastRow="0" w:firstColumn="0" w:lastColumn="0" w:noHBand="0" w:noVBand="0" w:val="0000"/>
        <w:jc w:val="start"/>
      </w:tblPr>
      <w:tblGrid>
        <w:gridCol w:w="7705"/>
      </w:tblGrid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🎯 TUJUAN PEMBELAJARAN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1.</w:t>
            </w:r>
            <w:r>
              <w:t xml:space="preserve"> </w:t>
            </w:r>
            <w:r>
              <w:t xml:space="preserve">Menerapkan kerangka analisis Three Delays dalam evaluasi kasus</w:t>
            </w:r>
            <w:r>
              <w:t xml:space="preserve"> </w:t>
            </w:r>
            <w:r>
              <w:t xml:space="preserve">kematian maternal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2.</w:t>
            </w:r>
            <w:r>
              <w:t xml:space="preserve"> </w:t>
            </w:r>
            <w:r>
              <w:t xml:space="preserve">Mengintegrasikan pendekatan klinis-sosial dalam kasus kekerasan</w:t>
            </w:r>
            <w:r>
              <w:t xml:space="preserve"> </w:t>
            </w:r>
            <w:r>
              <w:t xml:space="preserve">berbasis gender pada kehamilan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3.</w:t>
            </w:r>
            <w:r>
              <w:t xml:space="preserve"> </w:t>
            </w:r>
            <w:r>
              <w:t xml:space="preserve">Mengevaluasi efektivitas dan tantangan implementasi telemedicine</w:t>
            </w:r>
            <w:r>
              <w:t xml:space="preserve"> </w:t>
            </w:r>
            <w:r>
              <w:t xml:space="preserve">dalam kondisi nyata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4.</w:t>
            </w:r>
            <w:r>
              <w:t xml:space="preserve"> </w:t>
            </w:r>
            <w:r>
              <w:t xml:space="preserve">Menganalisis kasus kanker ginekologi melalui lensa hambatan</w:t>
            </w:r>
            <w:r>
              <w:t xml:space="preserve"> </w:t>
            </w:r>
            <w:r>
              <w:t xml:space="preserve">akses multidimensi</w:t>
            </w:r>
          </w:p>
        </w:tc>
      </w:tr>
    </w:tbl>
    <w:bookmarkEnd w:id="65"/>
    <w:bookmarkEnd w:id="66"/>
    <w:bookmarkStart w:id="70" w:name="Xc3468096169294d150cb640dae48944e2a7824a"/>
    <w:p>
      <w:pPr>
        <w:pStyle w:val="Heading2"/>
      </w:pPr>
      <w:r>
        <w:t xml:space="preserve">3.1 Kasus 1: Kematian Maternal Akibat Keterlambatan Tiga Lapis</w:t>
      </w:r>
    </w:p>
    <w:bookmarkStart w:id="67" w:name="presentasi-kasus"/>
    <w:p>
      <w:pPr>
        <w:pStyle w:val="Heading3"/>
      </w:pPr>
      <w:r>
        <w:t xml:space="preserve">3.1.1 Presentasi Kasus</w:t>
      </w:r>
    </w:p>
    <w:p>
      <w:pPr>
        <w:pStyle w:val="FirstParagraph"/>
      </w:pPr>
      <w:r>
        <w:t xml:space="preserve">Ny. A, 28 tahun, G1P0, hamil 38 minggu, tinggal di desa terpencil di</w:t>
      </w:r>
      <w:r>
        <w:t xml:space="preserve"> </w:t>
      </w:r>
      <w:r>
        <w:t xml:space="preserve">NTT, berjarak 4 jam perjalanan darat ke RS kabupaten. Pada pukul 20.00,</w:t>
      </w:r>
      <w:r>
        <w:t xml:space="preserve"> </w:t>
      </w:r>
      <w:r>
        <w:t xml:space="preserve">ia mengeluhkan sakit kepala hebat dan pandangan kabur. Suami dan mertua</w:t>
      </w:r>
      <w:r>
        <w:t xml:space="preserve"> </w:t>
      </w:r>
      <w:r>
        <w:t xml:space="preserve">awalnya menganggap ini sebagai 'sawan kehamilan' yang lazim. Dukun</w:t>
      </w:r>
      <w:r>
        <w:t xml:space="preserve"> </w:t>
      </w:r>
      <w:r>
        <w:t xml:space="preserve">dipanggil dan memberikan ramuan, mengatakan kondisi akan membaik setelah</w:t>
      </w:r>
      <w:r>
        <w:t xml:space="preserve"> </w:t>
      </w:r>
      <w:r>
        <w:t xml:space="preserve">istirahat. Pada pukul 01.00 dini hari, Ny. A mengalami kejang</w:t>
      </w:r>
      <w:r>
        <w:t xml:space="preserve"> </w:t>
      </w:r>
      <w:r>
        <w:t xml:space="preserve">tonik-klonik generalisata. Keluarga baru memutuskan mencari pertolongan</w:t>
      </w:r>
      <w:r>
        <w:t xml:space="preserve"> </w:t>
      </w:r>
      <w:r>
        <w:t xml:space="preserve">medis.</w:t>
      </w:r>
    </w:p>
    <w:p>
      <w:pPr>
        <w:pStyle w:val="BodyText"/>
      </w:pPr>
      <w:r>
        <w:t xml:space="preserve">Bidan desa dihubungi pukul 01.30. Ia tidak memiliki MgSO4 di tasnya</w:t>
      </w:r>
      <w:r>
        <w:t xml:space="preserve"> </w:t>
      </w:r>
      <w:r>
        <w:t xml:space="preserve">(stok habis di Puskesmas) dan satu-satunya ambulans di kecamatan sedang</w:t>
      </w:r>
      <w:r>
        <w:t xml:space="preserve"> </w:t>
      </w:r>
      <w:r>
        <w:t xml:space="preserve">digunakan untuk keperluan lain. Setelah 2 jam menunggu transportasi, Ny.</w:t>
      </w:r>
      <w:r>
        <w:t xml:space="preserve"> </w:t>
      </w:r>
      <w:r>
        <w:t xml:space="preserve">A dibawa dengan kendaraan bak terbuka ke Puskesmas. Di Puskesmas, dokter</w:t>
      </w:r>
      <w:r>
        <w:t xml:space="preserve"> </w:t>
      </w:r>
      <w:r>
        <w:t xml:space="preserve">PTT yang baru bertugas 3 bulan memberikan diazepam IV karena MgSO4 tidak</w:t>
      </w:r>
      <w:r>
        <w:t xml:space="preserve"> </w:t>
      </w:r>
      <w:r>
        <w:t xml:space="preserve">tersedia. Ny. A dirujuk ke RS kabupaten pada pukul 04.30. Ia meninggal</w:t>
      </w:r>
      <w:r>
        <w:t xml:space="preserve"> </w:t>
      </w:r>
      <w:r>
        <w:t xml:space="preserve">dalam perjalanan akibat komplikasi eklampsia berat — total waktu dari</w:t>
      </w:r>
      <w:r>
        <w:t xml:space="preserve"> </w:t>
      </w:r>
      <w:r>
        <w:t xml:space="preserve">kejang pertama hingga meninggal: 5 jam 30 menit.</w:t>
      </w:r>
    </w:p>
    <w:bookmarkEnd w:id="67"/>
    <w:bookmarkStart w:id="68" w:name="analisis-tiga-keterlambatan"/>
    <w:p>
      <w:pPr>
        <w:pStyle w:val="Heading3"/>
      </w:pPr>
      <w:r>
        <w:t xml:space="preserve">3.1.2 Analisis Tiga Keterlambatan</w:t>
      </w:r>
    </w:p>
    <w:p>
      <w:pPr>
        <w:pStyle w:val="FirstParagraph"/>
      </w:pPr>
      <w:r>
        <w:t xml:space="preserve">Keterlambatan Pertama — Mengenali bahaya dan memutuskan mencari</w:t>
      </w:r>
      <w:r>
        <w:t xml:space="preserve"> </w:t>
      </w:r>
      <w:r>
        <w:t xml:space="preserve">pertolongan: Gejala prodromal eklampsia (sakit kepala, gangguan</w:t>
      </w:r>
      <w:r>
        <w:t xml:space="preserve"> </w:t>
      </w:r>
      <w:r>
        <w:t xml:space="preserve">penglihatan) dimulai pukul 20.00 namun keputusan mencari pertolongan</w:t>
      </w:r>
      <w:r>
        <w:t xml:space="preserve"> </w:t>
      </w:r>
      <w:r>
        <w:t xml:space="preserve">medis baru dibuat pukul 01.00 — keterlambatan 5 jam. Faktor yang</w:t>
      </w:r>
      <w:r>
        <w:t xml:space="preserve"> </w:t>
      </w:r>
      <w:r>
        <w:t xml:space="preserve">berkontribusi: kepercayaan pada dukun dan interpretasi budaya tentang</w:t>
      </w:r>
      <w:r>
        <w:t xml:space="preserve"> </w:t>
      </w:r>
      <w:r>
        <w:t xml:space="preserve">gejala, kurangnya pengetahuan keluarga tentang tanda bahaya</w:t>
      </w:r>
      <w:r>
        <w:t xml:space="preserve"> </w:t>
      </w:r>
      <w:r>
        <w:t xml:space="preserve">pre-eklampsia, tidak ada sistem edukasi tanda bahaya yang efektif dalam</w:t>
      </w:r>
      <w:r>
        <w:t xml:space="preserve"> </w:t>
      </w:r>
      <w:r>
        <w:t xml:space="preserve">ANC yang dihadiri Ny. A. Intervensi yang dapat mencegah keterlambatan</w:t>
      </w:r>
      <w:r>
        <w:t xml:space="preserve"> </w:t>
      </w:r>
      <w:r>
        <w:t xml:space="preserve">ini: kelas ibu hamil yang secara eksplisit mengedukasi keluarga (bukan</w:t>
      </w:r>
      <w:r>
        <w:t xml:space="preserve"> </w:t>
      </w:r>
      <w:r>
        <w:t xml:space="preserve">hanya ibu) tentang tanda bahaya, stiker tanda bahaya di rumah sebagai</w:t>
      </w:r>
      <w:r>
        <w:t xml:space="preserve"> </w:t>
      </w:r>
      <w:r>
        <w:t xml:space="preserve">bagian P4K, dan penguatan peran kader untuk home visit pada ibu hamil</w:t>
      </w:r>
      <w:r>
        <w:t xml:space="preserve"> </w:t>
      </w:r>
      <w:r>
        <w:t xml:space="preserve">risiko tinggi.</w:t>
      </w:r>
    </w:p>
    <w:p>
      <w:pPr>
        <w:pStyle w:val="BodyText"/>
      </w:pPr>
      <w:r>
        <w:t xml:space="preserve">Keterlambatan Kedua — Mencapai fasilitas yang tepat: Tidak tersedianya</w:t>
      </w:r>
      <w:r>
        <w:t xml:space="preserve"> </w:t>
      </w:r>
      <w:r>
        <w:t xml:space="preserve">MgSO4 di tas bidan dan keterbatasan transportasi menyebabkan</w:t>
      </w:r>
      <w:r>
        <w:t xml:space="preserve"> </w:t>
      </w:r>
      <w:r>
        <w:t xml:space="preserve">keterlambatan 2+ jam dari Puskesmas ke RS. Faktor yang berkontribusi:</w:t>
      </w:r>
      <w:r>
        <w:t xml:space="preserve"> </w:t>
      </w:r>
      <w:r>
        <w:t xml:space="preserve">sistem logistik obat esensial yang tidak memastikan ketersediaan MgSO4</w:t>
      </w:r>
      <w:r>
        <w:t xml:space="preserve"> </w:t>
      </w:r>
      <w:r>
        <w:t xml:space="preserve">24 jam, ketergantungan pada satu ambulans untuk seluruh kecamatan, dan</w:t>
      </w:r>
      <w:r>
        <w:t xml:space="preserve"> </w:t>
      </w:r>
      <w:r>
        <w:t xml:space="preserve">tidak adanya protokol emergensi transport yang telah disiapkan</w:t>
      </w:r>
      <w:r>
        <w:t xml:space="preserve"> </w:t>
      </w:r>
      <w:r>
        <w:t xml:space="preserve">sebelumnya. Intervensi: sistem monitoring stok obat esensial berbasis</w:t>
      </w:r>
      <w:r>
        <w:t xml:space="preserve"> </w:t>
      </w:r>
      <w:r>
        <w:t xml:space="preserve">digital dengan alert otomatis, dana transportasi emergensi maternal di</w:t>
      </w:r>
      <w:r>
        <w:t xml:space="preserve"> </w:t>
      </w:r>
      <w:r>
        <w:t xml:space="preserve">tingkat desa, dan kemitraan transportasi komunitas sebagai backup.</w:t>
      </w:r>
    </w:p>
    <w:p>
      <w:pPr>
        <w:pStyle w:val="BodyText"/>
      </w:pPr>
      <w:r>
        <w:t xml:space="preserve">Keterlambatan Ketiga — Mendapat pertolongan adekuat di fasilitas:</w:t>
      </w:r>
      <w:r>
        <w:t xml:space="preserve"> </w:t>
      </w:r>
      <w:r>
        <w:t xml:space="preserve">Dokter PTT yang tidak familiar dengan protokol eklampsia memberikan</w:t>
      </w:r>
      <w:r>
        <w:t xml:space="preserve"> </w:t>
      </w:r>
      <w:r>
        <w:t xml:space="preserve">diazepam (bukan MgSO4) dan tidak tersedianya MgSO4 di Puskesmas. Faktor</w:t>
      </w:r>
      <w:r>
        <w:t xml:space="preserve"> </w:t>
      </w:r>
      <w:r>
        <w:t xml:space="preserve">yang berkontribusi: penempatan dokter PTT tanpa evaluasi kompetensi</w:t>
      </w:r>
      <w:r>
        <w:t xml:space="preserve"> </w:t>
      </w:r>
      <w:r>
        <w:t xml:space="preserve">emergensi obstetri yang memadai, tidak adanya SOP tertulis yang mudah</w:t>
      </w:r>
      <w:r>
        <w:t xml:space="preserve"> </w:t>
      </w:r>
      <w:r>
        <w:t xml:space="preserve">diakses, dan ketidaktersediaan obat esensial. Intervensi: pelatihan</w:t>
      </w:r>
      <w:r>
        <w:t xml:space="preserve"> </w:t>
      </w:r>
      <w:r>
        <w:t xml:space="preserve">wajib PONEK sebelum penempatan, app-based emergency protocol yang dapat</w:t>
      </w:r>
      <w:r>
        <w:t xml:space="preserve"> </w:t>
      </w:r>
      <w:r>
        <w:t xml:space="preserve">diakses offline, dan sistem jaminan ketersediaan obat esensial.</w:t>
      </w:r>
    </w:p>
    <w:bookmarkEnd w:id="68"/>
    <w:bookmarkStart w:id="69" w:name="rekomendasi-perbaikan-sistem"/>
    <w:p>
      <w:pPr>
        <w:pStyle w:val="Heading3"/>
      </w:pPr>
      <w:r>
        <w:t xml:space="preserve">3.1.3 Rekomendasi Perbaikan Sistem</w:t>
      </w:r>
    </w:p>
    <w:p>
      <w:pPr>
        <w:pStyle w:val="FirstParagraph"/>
      </w:pPr>
      <w:r>
        <w:t xml:space="preserve">Rekomendasi berbasis kasus ini, jika diimplementasikan secara</w:t>
      </w:r>
      <w:r>
        <w:t xml:space="preserve"> </w:t>
      </w:r>
      <w:r>
        <w:t xml:space="preserve">sistematis, dapat mencegah kematian serupa di masa depan. Tingkat</w:t>
      </w:r>
      <w:r>
        <w:t xml:space="preserve"> </w:t>
      </w:r>
      <w:r>
        <w:t xml:space="preserve">komunitas: revitalisasi program P4K dengan fokus pada edukasi keluarga</w:t>
      </w:r>
      <w:r>
        <w:t xml:space="preserve"> </w:t>
      </w:r>
      <w:r>
        <w:t xml:space="preserve">tentang tanda bahaya, sistem kader aktif yang melakukan home visit pada</w:t>
      </w:r>
      <w:r>
        <w:t xml:space="preserve"> </w:t>
      </w:r>
      <w:r>
        <w:t xml:space="preserve">ibu hamil risiko tinggi, dan dana transportasi darurat berbasis</w:t>
      </w:r>
      <w:r>
        <w:t xml:space="preserve"> </w:t>
      </w:r>
      <w:r>
        <w:t xml:space="preserve">komunitas. Tingkat fasilitas primer: jaminan ketersediaan kit emergensi</w:t>
      </w:r>
      <w:r>
        <w:t xml:space="preserve"> </w:t>
      </w:r>
      <w:r>
        <w:t xml:space="preserve">eklampsia (MgSO4, labetalol) 24/7 dengan sistem monitoring stok, SOP</w:t>
      </w:r>
      <w:r>
        <w:t xml:space="preserve"> </w:t>
      </w:r>
      <w:r>
        <w:t xml:space="preserve">emergensi obstetri yang mudah diakses (tercetak dan digital), dan</w:t>
      </w:r>
      <w:r>
        <w:t xml:space="preserve"> </w:t>
      </w:r>
      <w:r>
        <w:t xml:space="preserve">pelatihan simulasi reguler. Tingkat sistem: monitoring kinerja program</w:t>
      </w:r>
      <w:r>
        <w:t xml:space="preserve"> </w:t>
      </w:r>
      <w:r>
        <w:t xml:space="preserve">P4K dan ANC berbasis data, sistem koordinasi ambulans lintas wilayah,</w:t>
      </w:r>
      <w:r>
        <w:t xml:space="preserve"> </w:t>
      </w:r>
      <w:r>
        <w:t xml:space="preserve">dan mekanisme AMP yang berfungsi di semua tingkatan.</w:t>
      </w:r>
    </w:p>
    <w:bookmarkEnd w:id="69"/>
    <w:bookmarkEnd w:id="70"/>
    <w:bookmarkStart w:id="74" w:name="kasus-2-ipv-dalam-kehamilan-di-pedesaan"/>
    <w:p>
      <w:pPr>
        <w:pStyle w:val="Heading2"/>
      </w:pPr>
      <w:r>
        <w:t xml:space="preserve">3.2 Kasus 2: IPV dalam Kehamilan di Pedesaan</w:t>
      </w:r>
    </w:p>
    <w:bookmarkStart w:id="71" w:name="presentasi-kasus-1"/>
    <w:p>
      <w:pPr>
        <w:pStyle w:val="Heading3"/>
      </w:pPr>
      <w:r>
        <w:t xml:space="preserve">3.2.1 Presentasi Kasus</w:t>
      </w:r>
    </w:p>
    <w:p>
      <w:pPr>
        <w:pStyle w:val="FirstParagraph"/>
      </w:pPr>
      <w:r>
        <w:t xml:space="preserve">Ny. B, 24 tahun, G2P1, UK 32 minggu, datang ke Puskesmas dengan keluhan</w:t>
      </w:r>
      <w:r>
        <w:t xml:space="preserve"> </w:t>
      </w:r>
      <w:r>
        <w:t xml:space="preserve">kontraksi. Dalam anamnesis fisik, bidan menemukan memar di lengan atas</w:t>
      </w:r>
      <w:r>
        <w:t xml:space="preserve"> </w:t>
      </w:r>
      <w:r>
        <w:t xml:space="preserve">dan perut bawah. Pasien awalnya mengatakan 'terjatuh'. Saat bidan</w:t>
      </w:r>
      <w:r>
        <w:t xml:space="preserve"> </w:t>
      </w:r>
      <w:r>
        <w:t xml:space="preserve">meninggalkan ruangan sebentar dan hanya Ny. B yang ada, ia berbisik</w:t>
      </w:r>
      <w:r>
        <w:t xml:space="preserve"> </w:t>
      </w:r>
      <w:r>
        <w:t xml:space="preserve">kepada kader pendamping bahwa suaminya memukuli setelah mengetahui</w:t>
      </w:r>
      <w:r>
        <w:t xml:space="preserve"> </w:t>
      </w:r>
      <w:r>
        <w:t xml:space="preserve">kehamilan ini. Suami adalah tokoh masyarakat yang dihormati. Ny. B</w:t>
      </w:r>
      <w:r>
        <w:t xml:space="preserve"> </w:t>
      </w:r>
      <w:r>
        <w:t xml:space="preserve">sangat ketakutan bahwa jika melaporkan, situasi akan menjadi lebih</w:t>
      </w:r>
      <w:r>
        <w:t xml:space="preserve"> </w:t>
      </w:r>
      <w:r>
        <w:t xml:space="preserve">buruk. Pemeriksaan menunjukkan kontraksi irregular, serviks 1 cm, janin</w:t>
      </w:r>
      <w:r>
        <w:t xml:space="preserve"> </w:t>
      </w:r>
      <w:r>
        <w:t xml:space="preserve">presentasi kepala, DJJ normal.</w:t>
      </w:r>
    </w:p>
    <w:bookmarkEnd w:id="71"/>
    <w:bookmarkStart w:id="72" w:name="X2c04baf82c1443543727baa90019018971d59d8"/>
    <w:p>
      <w:pPr>
        <w:pStyle w:val="Heading3"/>
      </w:pPr>
      <w:r>
        <w:t xml:space="preserve">3.2.2 Pendekatan Klinis dan Sosial Terintegrasi</w:t>
      </w:r>
    </w:p>
    <w:p>
      <w:pPr>
        <w:pStyle w:val="FirstParagraph"/>
      </w:pPr>
      <w:r>
        <w:t xml:space="preserve">Prioritas klinisi pertama adalah keselamatan fisik Ny. B dan janinnya:</w:t>
      </w:r>
      <w:r>
        <w:t xml:space="preserve"> </w:t>
      </w:r>
      <w:r>
        <w:t xml:space="preserve">tatalaksana ancaman persalinan prematur (tokolisis, kortikosteroid jika</w:t>
      </w:r>
      <w:r>
        <w:t xml:space="preserve"> </w:t>
      </w:r>
      <w:r>
        <w:t xml:space="preserve">indikasi, monitoring ketat). Namun penanganan komplikasi klinis tanpa</w:t>
      </w:r>
      <w:r>
        <w:t xml:space="preserve"> </w:t>
      </w:r>
      <w:r>
        <w:t xml:space="preserve">mengakui dan merespons kekerasan yang mendasarinya adalah tidak lengkap.</w:t>
      </w:r>
      <w:r>
        <w:t xml:space="preserve"> </w:t>
      </w:r>
      <w:r>
        <w:t xml:space="preserve">Pendekatan yang benar: ciptakan lingkungan privat dan aman untuk</w:t>
      </w:r>
      <w:r>
        <w:t xml:space="preserve"> </w:t>
      </w:r>
      <w:r>
        <w:t xml:space="preserve">berbicara (suami tidak boleh hadir), gunakan bahasa yang empati dan</w:t>
      </w:r>
      <w:r>
        <w:t xml:space="preserve"> </w:t>
      </w:r>
      <w:r>
        <w:t xml:space="preserve">tidak menghakimi ('Saya melihat ada memar dan ingin memastikan Ibu</w:t>
      </w:r>
      <w:r>
        <w:t xml:space="preserve"> </w:t>
      </w:r>
      <w:r>
        <w:t xml:space="preserve">baik-baik saja — apakah ada yang ingin Ibu ceritakan?'), validasi</w:t>
      </w:r>
      <w:r>
        <w:t xml:space="preserve"> </w:t>
      </w:r>
      <w:r>
        <w:t xml:space="preserve">perasaan pasien ('Kekhawatiran Ibu sangat dapat dipahami'), dan</w:t>
      </w:r>
      <w:r>
        <w:t xml:space="preserve"> </w:t>
      </w:r>
      <w:r>
        <w:t xml:space="preserve">informasikan hak-haknya tanpa menekan ('Saya ingin Ibu tahu bahwa ada</w:t>
      </w:r>
      <w:r>
        <w:t xml:space="preserve"> </w:t>
      </w:r>
      <w:r>
        <w:t xml:space="preserve">bantuan tersedia jika Ibu menginginkannya — keputusan ada di tangan</w:t>
      </w:r>
      <w:r>
        <w:t xml:space="preserve"> </w:t>
      </w:r>
      <w:r>
        <w:t xml:space="preserve">Ibu').</w:t>
      </w:r>
    </w:p>
    <w:p>
      <w:pPr>
        <w:pStyle w:val="BodyText"/>
      </w:pPr>
      <w:r>
        <w:t xml:space="preserve">Faktor-faktor yang mempersulit kasus ini: suami adalah tokoh masyarakat</w:t>
      </w:r>
      <w:r>
        <w:t xml:space="preserve"> </w:t>
      </w:r>
      <w:r>
        <w:t xml:space="preserve">yang menciptakan tekanan sosial untuk menutup-nutupi, Ny. B memiliki</w:t>
      </w:r>
      <w:r>
        <w:t xml:space="preserve"> </w:t>
      </w:r>
      <w:r>
        <w:t xml:space="preserve">anak pertama yang bergantung padanya dan takut kehilangan pengasuhan</w:t>
      </w:r>
      <w:r>
        <w:t xml:space="preserve"> </w:t>
      </w:r>
      <w:r>
        <w:t xml:space="preserve">jika berpisah, tidak ada shelter terdekat (jarak 3 jam ke P2TP2A</w:t>
      </w:r>
      <w:r>
        <w:t xml:space="preserve"> </w:t>
      </w:r>
      <w:r>
        <w:t xml:space="preserve">kabupaten), dan bidan Puskesmas tidak pernah mendapat pelatihan tentang</w:t>
      </w:r>
      <w:r>
        <w:t xml:space="preserve"> </w:t>
      </w:r>
      <w:r>
        <w:t xml:space="preserve">penanganan IPV. Kasus ini menunjukkan mengapa pelatihan tenaga kesehatan</w:t>
      </w:r>
      <w:r>
        <w:t xml:space="preserve"> </w:t>
      </w:r>
      <w:r>
        <w:t xml:space="preserve">dalam penanganan IPV — bukan hanya dokter spesialis tetapi juga bidan</w:t>
      </w:r>
      <w:r>
        <w:t xml:space="preserve"> </w:t>
      </w:r>
      <w:r>
        <w:t xml:space="preserve">dan kader — adalah investasi sistem yang kritis.</w:t>
      </w:r>
    </w:p>
    <w:bookmarkEnd w:id="72"/>
    <w:bookmarkStart w:id="73" w:name="koordinasi-multisektoral"/>
    <w:p>
      <w:pPr>
        <w:pStyle w:val="Heading3"/>
      </w:pPr>
      <w:r>
        <w:t xml:space="preserve">3.2.3 Koordinasi Multisektoral</w:t>
      </w:r>
    </w:p>
    <w:p>
      <w:pPr>
        <w:pStyle w:val="FirstParagraph"/>
      </w:pPr>
      <w:r>
        <w:t xml:space="preserve">Dengan persetujuan Ny. B, koordinasi dilakukan secara hati-hati dengan:</w:t>
      </w:r>
      <w:r>
        <w:t xml:space="preserve"> </w:t>
      </w:r>
      <w:r>
        <w:t xml:space="preserve">tim P2TP2A kabupaten melalui saluran yang aman (tidak melalui WhatsApp</w:t>
      </w:r>
      <w:r>
        <w:t xml:space="preserve"> </w:t>
      </w:r>
      <w:r>
        <w:t xml:space="preserve">yang mungkin bisa dilihat suami), kepala desa perempuan yang Ny. B</w:t>
      </w:r>
      <w:r>
        <w:t xml:space="preserve"> </w:t>
      </w:r>
      <w:r>
        <w:t xml:space="preserve">percaya, dan psikolog puskesmas untuk pendampingan awal. Rencana</w:t>
      </w:r>
      <w:r>
        <w:t xml:space="preserve"> </w:t>
      </w:r>
      <w:r>
        <w:t xml:space="preserve">keselamatan dikembangkan bersama Ny. B: kode rahasia dengan tetangga</w:t>
      </w:r>
      <w:r>
        <w:t xml:space="preserve"> </w:t>
      </w:r>
      <w:r>
        <w:t xml:space="preserve">jika dalam bahaya, nomor kontak yang aman untuk dihubungi, dan skenario</w:t>
      </w:r>
      <w:r>
        <w:t xml:space="preserve"> </w:t>
      </w:r>
      <w:r>
        <w:t xml:space="preserve">exit plan jika situasi memburuk. Follow-up ANC dilakukan dengan</w:t>
      </w:r>
      <w:r>
        <w:t xml:space="preserve"> </w:t>
      </w:r>
      <w:r>
        <w:t xml:space="preserve">memastikan ada jendela waktu di mana Ny. B dapat datang sendiri tanpa</w:t>
      </w:r>
      <w:r>
        <w:t xml:space="preserve"> </w:t>
      </w:r>
      <w:r>
        <w:t xml:space="preserve">suami.</w:t>
      </w:r>
    </w:p>
    <w:bookmarkEnd w:id="73"/>
    <w:bookmarkEnd w:id="74"/>
    <w:bookmarkStart w:id="78" w:name="X5dc5ca1275ebda7e5e27a7de28b6620f2552d9b"/>
    <w:p>
      <w:pPr>
        <w:pStyle w:val="Heading2"/>
      </w:pPr>
      <w:r>
        <w:t xml:space="preserve">3.3 Kasus 3: Telemedicine ANC di Kepulauan Terpencil</w:t>
      </w:r>
    </w:p>
    <w:bookmarkStart w:id="75" w:name="deskripsi-program"/>
    <w:p>
      <w:pPr>
        <w:pStyle w:val="Heading3"/>
      </w:pPr>
      <w:r>
        <w:t xml:space="preserve">3.3.1 Deskripsi Program</w:t>
      </w:r>
    </w:p>
    <w:p>
      <w:pPr>
        <w:pStyle w:val="FirstParagraph"/>
      </w:pPr>
      <w:r>
        <w:t xml:space="preserve">Kabupaten X di Maluku Tengah memiliki 23 pulau berpenghuni dengan total</w:t>
      </w:r>
      <w:r>
        <w:t xml:space="preserve"> </w:t>
      </w:r>
      <w:r>
        <w:t xml:space="preserve">populasi 45.000 jiwa dan hanya 1 dokter SpOG yang bertugas di RSUD</w:t>
      </w:r>
      <w:r>
        <w:t xml:space="preserve"> </w:t>
      </w:r>
      <w:r>
        <w:t xml:space="preserve">kabupaten. Rata-rata waktu perjalanan dari pulau-pulau terluar ke RSUD</w:t>
      </w:r>
      <w:r>
        <w:t xml:space="preserve"> </w:t>
      </w:r>
      <w:r>
        <w:t xml:space="preserve">adalah 4–8 jam menggunakan kapal yang tidak tersedia setiap hari.</w:t>
      </w:r>
      <w:r>
        <w:t xml:space="preserve"> </w:t>
      </w:r>
      <w:r>
        <w:t xml:space="preserve">Cakupan ANC K4 sebelum program hanya 52%, dengan AKI kabupaten sekitar</w:t>
      </w:r>
      <w:r>
        <w:t xml:space="preserve"> </w:t>
      </w:r>
      <w:r>
        <w:t xml:space="preserve">320/100.000 KH.</w:t>
      </w:r>
    </w:p>
    <w:p>
      <w:pPr>
        <w:pStyle w:val="BodyText"/>
      </w:pPr>
      <w:r>
        <w:t xml:space="preserve">Program Telemedicine ANC dirancang dengan komponen berikut: (1)</w:t>
      </w:r>
      <w:r>
        <w:t xml:space="preserve"> </w:t>
      </w:r>
      <w:r>
        <w:t xml:space="preserve">Penyediaan tablet dengan koneksi internet satelit di 12 Puskesmas pulau;</w:t>
      </w:r>
      <w:r>
        <w:t xml:space="preserve"> </w:t>
      </w:r>
      <w:r>
        <w:t xml:space="preserve">(2) Bidan di pulau melakukan pemeriksaan fisik standar ANC dan merekam</w:t>
      </w:r>
      <w:r>
        <w:t xml:space="preserve"> </w:t>
      </w:r>
      <w:r>
        <w:t xml:space="preserve">video ultrasonografi menggunakan probe yang dihubungkan ke tablet; (3)</w:t>
      </w:r>
      <w:r>
        <w:t xml:space="preserve"> </w:t>
      </w:r>
      <w:r>
        <w:t xml:space="preserve">Gambar dan rekaman dikirimkan ke SpOG di RSUD untuk interpretasi; (4)</w:t>
      </w:r>
      <w:r>
        <w:t xml:space="preserve"> </w:t>
      </w:r>
      <w:r>
        <w:t xml:space="preserve">Konsultasi via video call antara bidan, pasien, dan SpOG; (5) Ibu hamil</w:t>
      </w:r>
      <w:r>
        <w:t xml:space="preserve"> </w:t>
      </w:r>
      <w:r>
        <w:t xml:space="preserve">risiko tinggi dijadwalkan untuk kunjungan tatap muka ke RSUD pada</w:t>
      </w:r>
      <w:r>
        <w:t xml:space="preserve"> </w:t>
      </w:r>
      <w:r>
        <w:t xml:space="preserve">trimester tertentu; (6) Sistem notifikasi untuk tanda bahaya yang</w:t>
      </w:r>
      <w:r>
        <w:t xml:space="preserve"> </w:t>
      </w:r>
      <w:r>
        <w:t xml:space="preserve">memerlukan rujukan segera.</w:t>
      </w:r>
    </w:p>
    <w:bookmarkEnd w:id="75"/>
    <w:bookmarkStart w:id="76" w:name="tantangan-dan-solusi-kreatif"/>
    <w:p>
      <w:pPr>
        <w:pStyle w:val="Heading3"/>
      </w:pPr>
      <w:r>
        <w:t xml:space="preserve">3.3.2 Tantangan dan Solusi Kreatif</w:t>
      </w:r>
    </w:p>
    <w:p>
      <w:pPr>
        <w:pStyle w:val="FirstParagraph"/>
      </w:pPr>
      <w:r>
        <w:t xml:space="preserve">Tantangan yang dihadapi dan solusi yang dikembangkan: koneksi internet</w:t>
      </w:r>
      <w:r>
        <w:t xml:space="preserve"> </w:t>
      </w:r>
      <w:r>
        <w:t xml:space="preserve">tidak stabil — solusi: sistem asynchronous di mana video dan foto</w:t>
      </w:r>
      <w:r>
        <w:t xml:space="preserve"> </w:t>
      </w:r>
      <w:r>
        <w:t xml:space="preserve">dapat dikirim saat koneksi tersedia dan direspons dalam 24 jam; kualitas</w:t>
      </w:r>
      <w:r>
        <w:t xml:space="preserve"> </w:t>
      </w:r>
      <w:r>
        <w:t xml:space="preserve">gambar USG bervariasi tergantung keahlian bidan — solusi: program</w:t>
      </w:r>
      <w:r>
        <w:t xml:space="preserve"> </w:t>
      </w:r>
      <w:r>
        <w:t xml:space="preserve">pelatihan USG dasar untuk bidan dan panduan visual yang jelas;</w:t>
      </w:r>
      <w:r>
        <w:t xml:space="preserve"> </w:t>
      </w:r>
      <w:r>
        <w:t xml:space="preserve">resistensi pasien yang tidak percaya 'dokter di layar' — solusi:</w:t>
      </w:r>
      <w:r>
        <w:t xml:space="preserve"> </w:t>
      </w:r>
      <w:r>
        <w:t xml:space="preserve">pelibatan tokoh masyarakat dan sesi pengenalan program; dan kesulitan</w:t>
      </w:r>
      <w:r>
        <w:t xml:space="preserve"> </w:t>
      </w:r>
      <w:r>
        <w:t xml:space="preserve">akreditasi resep dan rujukan — solusi: koordinasi dengan Dinas</w:t>
      </w:r>
      <w:r>
        <w:t xml:space="preserve"> </w:t>
      </w:r>
      <w:r>
        <w:t xml:space="preserve">Kesehatan untuk mekanisme legal yang sesuai.</w:t>
      </w:r>
    </w:p>
    <w:bookmarkEnd w:id="76"/>
    <w:bookmarkStart w:id="77" w:name="hasil-dan-evaluasi"/>
    <w:p>
      <w:pPr>
        <w:pStyle w:val="Heading3"/>
      </w:pPr>
      <w:r>
        <w:t xml:space="preserve">3.3.3 Hasil dan Evaluasi</w:t>
      </w:r>
    </w:p>
    <w:p>
      <w:pPr>
        <w:pStyle w:val="FirstParagraph"/>
      </w:pPr>
      <w:r>
        <w:t xml:space="preserve">Setelah 18 bulan implementasi: cakupan ANC K4 meningkat dari 52% menjadi</w:t>
      </w:r>
      <w:r>
        <w:t xml:space="preserve"> </w:t>
      </w:r>
      <w:r>
        <w:t xml:space="preserve">78%; proporsi ibu hamil risiko tinggi yang berhasil dirujuk ke RSUD</w:t>
      </w:r>
      <w:r>
        <w:t xml:space="preserve"> </w:t>
      </w:r>
      <w:r>
        <w:t xml:space="preserve">untuk persalinan meningkat dari 34% menjadi 67%; angka kematian maternal</w:t>
      </w:r>
      <w:r>
        <w:t xml:space="preserve"> </w:t>
      </w:r>
      <w:r>
        <w:t xml:space="preserve">turun dari 320 menjadi 198/100.000 KH (penurunan 38%); kepuasan pengguna</w:t>
      </w:r>
      <w:r>
        <w:t xml:space="preserve"> </w:t>
      </w:r>
      <w:r>
        <w:t xml:space="preserve">(ibu hamil) mencapai 82% 'sangat puas' atau 'puas'. Biaya per</w:t>
      </w:r>
      <w:r>
        <w:t xml:space="preserve"> </w:t>
      </w:r>
      <w:r>
        <w:t xml:space="preserve">kunjungan ANC telemedicine adalah 40% lebih rendah dari kunjungan tatap</w:t>
      </w:r>
      <w:r>
        <w:t xml:space="preserve"> </w:t>
      </w:r>
      <w:r>
        <w:t xml:space="preserve">muka ketika memperhitungkan biaya transportasi yang dihindari.</w:t>
      </w:r>
    </w:p>
    <w:bookmarkEnd w:id="77"/>
    <w:bookmarkEnd w:id="78"/>
    <w:bookmarkStart w:id="83" w:name="Xb7764973cfe8f9ee380d89e5db5abaf6cfda784"/>
    <w:p>
      <w:pPr>
        <w:pStyle w:val="Heading2"/>
      </w:pPr>
      <w:r>
        <w:t xml:space="preserve">3.4 Kasus 4: Kanker Serviks Stadium Lanjut pada Perempuan Muda</w:t>
      </w:r>
    </w:p>
    <w:bookmarkStart w:id="79" w:name="presentasi-kasus-2"/>
    <w:p>
      <w:pPr>
        <w:pStyle w:val="Heading3"/>
      </w:pPr>
      <w:r>
        <w:t xml:space="preserve">3.4.1 Presentasi Kasus</w:t>
      </w:r>
    </w:p>
    <w:p>
      <w:pPr>
        <w:pStyle w:val="FirstParagraph"/>
      </w:pPr>
      <w:r>
        <w:t xml:space="preserve">Ny. C, 34 tahun, ibu tiga anak, datang ke RSUD dengan keluhan perdarahan</w:t>
      </w:r>
      <w:r>
        <w:t xml:space="preserve"> </w:t>
      </w:r>
      <w:r>
        <w:t xml:space="preserve">pervaginam sejak 3 bulan dan nyeri panggul yang semakin berat.</w:t>
      </w:r>
      <w:r>
        <w:t xml:space="preserve"> </w:t>
      </w:r>
      <w:r>
        <w:t xml:space="preserve">Pemeriksaan ginekologi menunjukkan massa besar di serviks dengan</w:t>
      </w:r>
      <w:r>
        <w:t xml:space="preserve"> </w:t>
      </w:r>
      <w:r>
        <w:t xml:space="preserve">ekstensi ke dinding panggul bilateral. Biopsi mengkonfirmasi karsinoma</w:t>
      </w:r>
      <w:r>
        <w:t xml:space="preserve"> </w:t>
      </w:r>
      <w:r>
        <w:t xml:space="preserve">sel skuamosa serviks. Pencitraan MRI menunjukkan massa 6 cm dengan</w:t>
      </w:r>
      <w:r>
        <w:t xml:space="preserve"> </w:t>
      </w:r>
      <w:r>
        <w:t xml:space="preserve">parametrium bilateral terlibat dan kelenjar getah bening obturator</w:t>
      </w:r>
      <w:r>
        <w:t xml:space="preserve"> </w:t>
      </w:r>
      <w:r>
        <w:t xml:space="preserve">positif — stadium IIIB FIGO. Ny. C tidak pernah mendapat skrining</w:t>
      </w:r>
      <w:r>
        <w:t xml:space="preserve"> </w:t>
      </w:r>
      <w:r>
        <w:t xml:space="preserve">kanker serviks. Ia tidak mengetahui bahwa IVA tersedia gratis di</w:t>
      </w:r>
      <w:r>
        <w:t xml:space="preserve"> </w:t>
      </w:r>
      <w:r>
        <w:t xml:space="preserve">Puskesmas. Suaminya pernah mengatakan bahwa 'wanita baik-baik tidak</w:t>
      </w:r>
      <w:r>
        <w:t xml:space="preserve"> </w:t>
      </w:r>
      <w:r>
        <w:t xml:space="preserve">perlu diperiksa seperti itu.'</w:t>
      </w:r>
    </w:p>
    <w:bookmarkEnd w:id="79"/>
    <w:bookmarkStart w:id="80" w:name="kendala-akses-multidimensi"/>
    <w:p>
      <w:pPr>
        <w:pStyle w:val="Heading3"/>
      </w:pPr>
      <w:r>
        <w:t xml:space="preserve">3.4.2 Kendala Akses Multidimensi</w:t>
      </w:r>
    </w:p>
    <w:p>
      <w:pPr>
        <w:pStyle w:val="FirstParagraph"/>
      </w:pPr>
      <w:r>
        <w:t xml:space="preserve">Analisis hambatan yang berkontribusi pada keterlambatan diagnosis:</w:t>
      </w:r>
      <w:r>
        <w:t xml:space="preserve"> </w:t>
      </w:r>
      <w:r>
        <w:t xml:space="preserve">Hambatan pengetahuan — Ny. C tidak mengetahui gejala awal kanker</w:t>
      </w:r>
      <w:r>
        <w:t xml:space="preserve"> </w:t>
      </w:r>
      <w:r>
        <w:t xml:space="preserve">serviks (yang biasanya tidak bergejala pada stadium dini), tidak</w:t>
      </w:r>
      <w:r>
        <w:t xml:space="preserve"> </w:t>
      </w:r>
      <w:r>
        <w:t xml:space="preserve">mengetahui ketersediaan dan pentingnya skrining IVA, dan stigma yang</w:t>
      </w:r>
      <w:r>
        <w:t xml:space="preserve"> </w:t>
      </w:r>
      <w:r>
        <w:t xml:space="preserve">disebarkan oleh suami ('kanker ini hanya untuk wanita yang tidak</w:t>
      </w:r>
      <w:r>
        <w:t xml:space="preserve"> </w:t>
      </w:r>
      <w:r>
        <w:t xml:space="preserve">setia'). Hambatan finansial — meskipun IVA gratis, biaya transportasi</w:t>
      </w:r>
      <w:r>
        <w:t xml:space="preserve"> </w:t>
      </w:r>
      <w:r>
        <w:t xml:space="preserve">ke Puskesmas dan biaya opportunity (meninggalkan warung dan anak-anak)</w:t>
      </w:r>
      <w:r>
        <w:t xml:space="preserve"> </w:t>
      </w:r>
      <w:r>
        <w:t xml:space="preserve">adalah hambatan nyata. Hambatan kultural — norma gender yang membatasi</w:t>
      </w:r>
      <w:r>
        <w:t xml:space="preserve"> </w:t>
      </w:r>
      <w:r>
        <w:t xml:space="preserve">otonomi Ny. C dalam keputusan kesehatan preventif, dan rasa malu</w:t>
      </w:r>
      <w:r>
        <w:t xml:space="preserve"> </w:t>
      </w:r>
      <w:r>
        <w:t xml:space="preserve">terhadap pemeriksaan ginekologi.</w:t>
      </w:r>
    </w:p>
    <w:bookmarkEnd w:id="80"/>
    <w:bookmarkStart w:id="81" w:name="manajemen-paliatif-dan-dukungan-sosial"/>
    <w:p>
      <w:pPr>
        <w:pStyle w:val="Heading3"/>
      </w:pPr>
      <w:r>
        <w:t xml:space="preserve">3.4.3 Manajemen Paliatif dan Dukungan Sosial</w:t>
      </w:r>
    </w:p>
    <w:p>
      <w:pPr>
        <w:pStyle w:val="FirstParagraph"/>
      </w:pPr>
      <w:r>
        <w:t xml:space="preserve">Pada stadium IIIB, pengobatan definitif adalah kemoradioterapi</w:t>
      </w:r>
      <w:r>
        <w:t xml:space="preserve"> </w:t>
      </w:r>
      <w:r>
        <w:t xml:space="preserve">(cisplatin mingguan + radioterapi eksterna + brakiterapi), dengan tujuan</w:t>
      </w:r>
      <w:r>
        <w:t xml:space="preserve"> </w:t>
      </w:r>
      <w:r>
        <w:t xml:space="preserve">kuratif yang masih mungkin pada 30–50% kasus. Namun Ny. C menghadapi</w:t>
      </w:r>
      <w:r>
        <w:t xml:space="preserve"> </w:t>
      </w:r>
      <w:r>
        <w:t xml:space="preserve">hambatan tambahan: tidak memiliki JKN aktif (baru menikah dan belum</w:t>
      </w:r>
      <w:r>
        <w:t xml:space="preserve"> </w:t>
      </w:r>
      <w:r>
        <w:t xml:space="preserve">didaftarkan oleh suami yang bekerja informal), RS tidak memiliki</w:t>
      </w:r>
      <w:r>
        <w:t xml:space="preserve"> </w:t>
      </w:r>
      <w:r>
        <w:t xml:space="preserve">fasilitas brakiterapi (harus dirujuk ke RS tipe A di kota besar 6 jam</w:t>
      </w:r>
      <w:r>
        <w:t xml:space="preserve"> </w:t>
      </w:r>
      <w:r>
        <w:t xml:space="preserve">perjalanan), dan suami tidak mau menemaninya berobat karena 'malu</w:t>
      </w:r>
      <w:r>
        <w:t xml:space="preserve"> </w:t>
      </w:r>
      <w:r>
        <w:t xml:space="preserve">dengan diagnosis ini.'</w:t>
      </w:r>
    </w:p>
    <w:p>
      <w:pPr>
        <w:pStyle w:val="BodyText"/>
      </w:pPr>
      <w:r>
        <w:t xml:space="preserve">Peran subspesialis Obginsos dalam kasus ini melampaui onkologi klinis:</w:t>
      </w:r>
      <w:r>
        <w:t xml:space="preserve"> </w:t>
      </w:r>
      <w:r>
        <w:t xml:space="preserve">mengadvokasi akselerasi pendaftaran JKN, berkoordinasi dengan dinas</w:t>
      </w:r>
      <w:r>
        <w:t xml:space="preserve"> </w:t>
      </w:r>
      <w:r>
        <w:t xml:space="preserve">sosial untuk bantuan transport dan akomodasi selama terapi,</w:t>
      </w:r>
      <w:r>
        <w:t xml:space="preserve"> </w:t>
      </w:r>
      <w:r>
        <w:t xml:space="preserve">mengintegrasikan psikolog dan konselor ke dalam tim perawatan,</w:t>
      </w:r>
      <w:r>
        <w:t xml:space="preserve"> </w:t>
      </w:r>
      <w:r>
        <w:t xml:space="preserve">mengkoordinasikan layanan paliatif berbasis komunitas untuk periode di</w:t>
      </w:r>
      <w:r>
        <w:t xml:space="preserve"> </w:t>
      </w:r>
      <w:r>
        <w:t xml:space="preserve">antara siklus kemoterapi, dan — bersama tim — mendiskusikan tujuan</w:t>
      </w:r>
      <w:r>
        <w:t xml:space="preserve"> </w:t>
      </w:r>
      <w:r>
        <w:t xml:space="preserve">perawatan yang realistis dengan Ny. C dan keluarganya dalam kerangka</w:t>
      </w:r>
      <w:r>
        <w:t xml:space="preserve"> </w:t>
      </w:r>
      <w:r>
        <w:t xml:space="preserve">yang menghormati otonominya.</w:t>
      </w:r>
    </w:p>
    <w:bookmarkEnd w:id="81"/>
    <w:bookmarkStart w:id="82" w:name="X499922f7727ef9bebe414ef4dad096f46377829"/>
    <w:p>
      <w:pPr>
        <w:pStyle w:val="Heading3"/>
      </w:pPr>
      <w:r>
        <w:t xml:space="preserve">3.4.4 Refleksi Sistem: Apa yang Seharusnya Berbeda</w:t>
      </w:r>
    </w:p>
    <w:p>
      <w:pPr>
        <w:pStyle w:val="FirstParagraph"/>
      </w:pPr>
      <w:r>
        <w:t xml:space="preserve">Kematian Ny. C — yang kemungkinan besar terjadi dalam 2–3 tahun —</w:t>
      </w:r>
      <w:r>
        <w:t xml:space="preserve"> </w:t>
      </w:r>
      <w:r>
        <w:t xml:space="preserve">adalah konsekuensi dari kegagalan sistemik yang berlapis, bukan</w:t>
      </w:r>
      <w:r>
        <w:t xml:space="preserve"> </w:t>
      </w:r>
      <w:r>
        <w:t xml:space="preserve">kegagalan individual. Refleksi sistem yang harus mendorong perubahan:</w:t>
      </w:r>
      <w:r>
        <w:t xml:space="preserve"> </w:t>
      </w:r>
      <w:r>
        <w:t xml:space="preserve">program skrining IVA yang cakupannya masih terlalu rendah dan tidak</w:t>
      </w:r>
      <w:r>
        <w:t xml:space="preserve"> </w:t>
      </w:r>
      <w:r>
        <w:t xml:space="preserve">menjangkau perempuan seperti Ny. C, kurikulum sekolah yang tidak</w:t>
      </w:r>
      <w:r>
        <w:t xml:space="preserve"> </w:t>
      </w:r>
      <w:r>
        <w:t xml:space="preserve">mencakup pendidikan kesehatan reproduksi yang memadai, norma gender yang</w:t>
      </w:r>
      <w:r>
        <w:t xml:space="preserve"> </w:t>
      </w:r>
      <w:r>
        <w:t xml:space="preserve">membatasi otonomi kesehatan perempuan yang dibiarkan tanpa intervensi,</w:t>
      </w:r>
      <w:r>
        <w:t xml:space="preserve"> </w:t>
      </w:r>
      <w:r>
        <w:t xml:space="preserve">dan sistem JKN yang masih memiliki gap cakupan yang menyebabkan orang</w:t>
      </w:r>
      <w:r>
        <w:t xml:space="preserve"> </w:t>
      </w:r>
      <w:r>
        <w:t xml:space="preserve">seperti Ny. C tidak terlindungi. Setiap kematian akibat kanker serviks</w:t>
      </w:r>
      <w:r>
        <w:t xml:space="preserve"> </w:t>
      </w:r>
      <w:r>
        <w:t xml:space="preserve">di Indonesia yang dapat dicegah adalah bukan takdir — ini adalah</w:t>
      </w:r>
      <w:r>
        <w:t xml:space="preserve"> </w:t>
      </w:r>
      <w:r>
        <w:t xml:space="preserve">ketidakberhasilan sistem yang harus mendorong perubahan nyata.</w:t>
      </w:r>
    </w:p>
    <w:p>
      <w:pPr>
        <w:pStyle w:val="BodyText"/>
      </w:pPr>
      <w:r>
        <w:rPr>
          <w:bCs/>
          <w:b/>
        </w:rPr>
        <w:t xml:space="preserve">SUPLEMEN KLINIS</w:t>
      </w:r>
    </w:p>
    <w:p>
      <w:pPr>
        <w:pStyle w:val="BodyText"/>
      </w:pPr>
      <w:r>
        <w:rPr>
          <w:bCs/>
          <w:b/>
        </w:rPr>
        <w:t xml:space="preserve">PROTOKOL DAN PANDUAN KLINIS TERPADU</w:t>
      </w:r>
    </w:p>
    <w:p>
      <w:pPr>
        <w:pStyle w:val="BodyText"/>
      </w:pPr>
      <w:r>
        <w:rPr>
          <w:iCs/>
          <w:i/>
        </w:rPr>
        <w:t xml:space="preserve">Referensi cepat berbasis bukti untuk pengambilan keputusan klinis</w:t>
      </w:r>
      <w:r>
        <w:rPr>
          <w:iCs/>
          <w:i/>
        </w:rPr>
        <w:t xml:space="preserve"> </w:t>
      </w:r>
      <w:r>
        <w:rPr>
          <w:iCs/>
          <w:i/>
        </w:rPr>
        <w:t xml:space="preserve">sehari-hari</w:t>
      </w:r>
    </w:p>
    <w:bookmarkEnd w:id="82"/>
    <w:bookmarkEnd w:id="83"/>
    <w:bookmarkStart w:id="84" w:name="Xd978e450d0852310a4bcc7904205dc4bedd7a8b"/>
    <w:p>
      <w:pPr>
        <w:pStyle w:val="Heading2"/>
      </w:pPr>
      <w:r>
        <w:t xml:space="preserve">SK.1 Manajemen Pre-Eklampsia: Panduan Komprehensif</w:t>
      </w:r>
    </w:p>
    <w:p>
      <w:pPr>
        <w:pStyle w:val="FirstParagraph"/>
      </w:pPr>
      <w:r>
        <w:t xml:space="preserve">Pre-eklampsia adalah kondisi yang memerlukan pengambilan keputusan</w:t>
      </w:r>
      <w:r>
        <w:t xml:space="preserve"> </w:t>
      </w:r>
      <w:r>
        <w:t xml:space="preserve">klinis yang cepat, berbasis bukti, dan menghindari dua ekstrem yang</w:t>
      </w:r>
      <w:r>
        <w:t xml:space="preserve"> </w:t>
      </w:r>
      <w:r>
        <w:t xml:space="preserve">sama-sama berbahaya: under-treatment yang membiarkan kondisi berkembang</w:t>
      </w:r>
      <w:r>
        <w:t xml:space="preserve"> </w:t>
      </w:r>
      <w:r>
        <w:t xml:space="preserve">menjadi eklampsia dan kegagalan organ, serta over-treatment yang</w:t>
      </w:r>
      <w:r>
        <w:t xml:space="preserve"> </w:t>
      </w:r>
      <w:r>
        <w:t xml:space="preserve">mengakibatkan iatrogenic prematurity yang tidak perlu. Panduan berikut</w:t>
      </w:r>
      <w:r>
        <w:t xml:space="preserve"> </w:t>
      </w:r>
      <w:r>
        <w:t xml:space="preserve">disusun berdasarkan rekomendasi ISSHP (International Society for the</w:t>
      </w:r>
      <w:r>
        <w:t xml:space="preserve"> </w:t>
      </w:r>
      <w:r>
        <w:t xml:space="preserve">Study of Hypertension in Pregnancy) 2022 yang diadaptasi untuk konteks</w:t>
      </w:r>
      <w:r>
        <w:t xml:space="preserve"> </w:t>
      </w:r>
      <w:r>
        <w:t xml:space="preserve">Indonesia.</w:t>
      </w:r>
    </w:p>
    <w:tbl>
      <w:tblPr>
        <w:tblStyle w:val="Table"/>
        <w:tblW w:type="pct" w:w="4867"/>
        <w:tblLook w:firstRow="1" w:lastRow="0" w:firstColumn="0" w:lastColumn="0" w:noHBand="0" w:noVBand="0" w:val="0020"/>
        <w:jc w:val="start"/>
      </w:tblPr>
      <w:tblGrid>
        <w:gridCol w:w="2428"/>
        <w:gridCol w:w="2534"/>
        <w:gridCol w:w="2745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Kondisi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Kriteria Diagnosis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Manajemen Utama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Hipertensi Gestasional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TD ≥140/90 mmHg, ≥2x</w:t>
            </w:r>
            <w:r>
              <w:t xml:space="preserve"> </w:t>
            </w:r>
            <w:r>
              <w:t xml:space="preserve">pengukuran, 4 jam</w:t>
            </w:r>
            <w:r>
              <w:t xml:space="preserve"> </w:t>
            </w:r>
            <w:r>
              <w:t xml:space="preserve">terpisah, UK ≥20</w:t>
            </w:r>
            <w:r>
              <w:t xml:space="preserve"> </w:t>
            </w:r>
            <w:r>
              <w:t xml:space="preserve">minggu, tanpa</w:t>
            </w:r>
            <w:r>
              <w:t xml:space="preserve"> </w:t>
            </w:r>
            <w:r>
              <w:t xml:space="preserve">proteinuria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Monitoring ketat tiap 1-2</w:t>
            </w:r>
            <w:r>
              <w:t xml:space="preserve"> </w:t>
            </w:r>
            <w:r>
              <w:t xml:space="preserve">minggu;</w:t>
            </w:r>
            <w:r>
              <w:t xml:space="preserve"> </w:t>
            </w:r>
            <w:r>
              <w:t xml:space="preserve">labetalol/nifedipin jika</w:t>
            </w:r>
            <w:r>
              <w:t xml:space="preserve"> </w:t>
            </w:r>
            <w:r>
              <w:t xml:space="preserve">TD ≥150/100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Pre-eklampsia tanpa</w:t>
            </w:r>
            <w:r>
              <w:t xml:space="preserve"> </w:t>
            </w:r>
            <w:r>
              <w:t xml:space="preserve">faktor berat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TD ≥140/90 +</w:t>
            </w:r>
            <w:r>
              <w:t xml:space="preserve"> </w:t>
            </w:r>
            <w:r>
              <w:t xml:space="preserve">proteinuria ≥300 mg/24j</w:t>
            </w:r>
            <w:r>
              <w:t xml:space="preserve"> </w:t>
            </w:r>
            <w:r>
              <w:t xml:space="preserve">ATAU rasio Pr/Cr ≥0,3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Rawat inap atau</w:t>
            </w:r>
            <w:r>
              <w:t xml:space="preserve"> </w:t>
            </w:r>
            <w:r>
              <w:t xml:space="preserve">monitoring ketat;</w:t>
            </w:r>
            <w:r>
              <w:t xml:space="preserve"> </w:t>
            </w:r>
            <w:r>
              <w:t xml:space="preserve">terminasi ≥37 minggu;</w:t>
            </w:r>
            <w:r>
              <w:t xml:space="preserve"> </w:t>
            </w:r>
            <w:r>
              <w:t xml:space="preserve">aspirin stop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Pre-eklampsia dengan</w:t>
            </w:r>
            <w:r>
              <w:t xml:space="preserve"> </w:t>
            </w:r>
            <w:r>
              <w:t xml:space="preserve">faktor berat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TD ≥160/110 ATAU gejala</w:t>
            </w:r>
            <w:r>
              <w:t xml:space="preserve"> </w:t>
            </w:r>
            <w:r>
              <w:t xml:space="preserve">(nyeri kepala, gangguan</w:t>
            </w:r>
            <w:r>
              <w:t xml:space="preserve"> </w:t>
            </w:r>
            <w:r>
              <w:t xml:space="preserve">visus, nyeri</w:t>
            </w:r>
            <w:r>
              <w:t xml:space="preserve"> </w:t>
            </w:r>
            <w:r>
              <w:t xml:space="preserve">epigastrium) ATAU HELLP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MgSO4 profilaksis;</w:t>
            </w:r>
            <w:r>
              <w:t xml:space="preserve"> </w:t>
            </w:r>
            <w:r>
              <w:t xml:space="preserve">antihipertensi IV;</w:t>
            </w:r>
            <w:r>
              <w:t xml:space="preserve"> </w:t>
            </w:r>
            <w:r>
              <w:t xml:space="preserve">terminasi ≥34 minggu</w:t>
            </w:r>
            <w:r>
              <w:t xml:space="preserve"> </w:t>
            </w:r>
            <w:r>
              <w:t xml:space="preserve">(pertimbangkan &lt;34</w:t>
            </w:r>
            <w:r>
              <w:t xml:space="preserve"> </w:t>
            </w:r>
            <w:r>
              <w:t xml:space="preserve">minggu)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Eklampsia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Kejang pada</w:t>
            </w:r>
            <w:r>
              <w:t xml:space="preserve"> </w:t>
            </w:r>
            <w:r>
              <w:t xml:space="preserve">pre-eklampsia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MgSO4 loading 4g IV;</w:t>
            </w:r>
            <w:r>
              <w:t xml:space="preserve"> </w:t>
            </w:r>
            <w:r>
              <w:t xml:space="preserve">terminate setelah</w:t>
            </w:r>
            <w:r>
              <w:t xml:space="preserve"> </w:t>
            </w:r>
            <w:r>
              <w:t xml:space="preserve">stabilisasi; ICU jika</w:t>
            </w:r>
            <w:r>
              <w:t xml:space="preserve"> </w:t>
            </w:r>
            <w:r>
              <w:t xml:space="preserve">diperlukan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HELLP Syndrome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Hemolisis + LFT</w:t>
            </w:r>
            <w:r>
              <w:t xml:space="preserve"> </w:t>
            </w:r>
            <w:r>
              <w:t xml:space="preserve">elevated + Low</w:t>
            </w:r>
            <w:r>
              <w:t xml:space="preserve"> </w:t>
            </w:r>
            <w:r>
              <w:t xml:space="preserve">Platelets (&lt;100.000)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Terminasi segera;</w:t>
            </w:r>
            <w:r>
              <w:t xml:space="preserve"> </w:t>
            </w:r>
            <w:r>
              <w:t xml:space="preserve">dexamethasone jika &lt;34</w:t>
            </w:r>
            <w:r>
              <w:t xml:space="preserve"> </w:t>
            </w:r>
            <w:r>
              <w:t xml:space="preserve">minggu; transfusi jika</w:t>
            </w:r>
            <w:r>
              <w:t xml:space="preserve"> </w:t>
            </w:r>
            <w:r>
              <w:t xml:space="preserve">PLT &lt;50.000</w:t>
            </w:r>
          </w:p>
        </w:tc>
      </w:tr>
    </w:tbl>
    <w:bookmarkEnd w:id="84"/>
    <w:bookmarkStart w:id="89" w:name="X06eac61c7f27a155bd4b1d4655b20cfcd4e9581"/>
    <w:p>
      <w:pPr>
        <w:pStyle w:val="Heading2"/>
      </w:pPr>
      <w:r>
        <w:t xml:space="preserve">SK.2 Manajemen Perdarahan Postpartum: Algoritma Langkah-per-Langkah</w:t>
      </w:r>
    </w:p>
    <w:bookmarkStart w:id="85" w:name="fase-1-0-5-menit-kenali-dan-mobilisasi"/>
    <w:p>
      <w:pPr>
        <w:pStyle w:val="Heading3"/>
      </w:pPr>
      <w:r>
        <w:t xml:space="preserve">Fase 1 (0-5 menit): Kenali dan Mobilisasi</w:t>
      </w:r>
    </w:p>
    <w:p>
      <w:pPr>
        <w:pStyle w:val="BlockText"/>
      </w:pPr>
      <w:r>
        <w:t xml:space="preserve">▸ Aktivasi tim emergensi PPH — panggil bantuan SEGERA, jangan tunggu</w:t>
      </w:r>
    </w:p>
    <w:p>
      <w:pPr>
        <w:pStyle w:val="BlockText"/>
      </w:pPr>
      <w:r>
        <w:t xml:space="preserve">▸ Nilai perdarahan: taksir volume, laju perdarahan, dan kondisi</w:t>
      </w:r>
      <w:r>
        <w:t xml:space="preserve"> </w:t>
      </w:r>
      <w:r>
        <w:t xml:space="preserve">hemodinamik</w:t>
      </w:r>
    </w:p>
    <w:p>
      <w:pPr>
        <w:pStyle w:val="BlockText"/>
      </w:pPr>
      <w:r>
        <w:t xml:space="preserve">▸ Pasang 2 jalur IV besar (≥16G) — ambil darah crossmatch, DL,</w:t>
      </w:r>
      <w:r>
        <w:t xml:space="preserve"> </w:t>
      </w:r>
      <w:r>
        <w:t xml:space="preserve">koagulasi</w:t>
      </w:r>
    </w:p>
    <w:p>
      <w:pPr>
        <w:pStyle w:val="BlockText"/>
      </w:pPr>
      <w:r>
        <w:t xml:space="preserve">▸ Infus kristaloid 1-2 liter cepat (Ringer Laktat lebih disukai dari</w:t>
      </w:r>
      <w:r>
        <w:t xml:space="preserve"> </w:t>
      </w:r>
      <w:r>
        <w:t xml:space="preserve">NS)</w:t>
      </w:r>
    </w:p>
    <w:p>
      <w:pPr>
        <w:pStyle w:val="BlockText"/>
      </w:pPr>
      <w:r>
        <w:t xml:space="preserve">▸ Oksitosin 10 IU IM ATAU 5 IU IV pelan-pelan — SEGERA</w:t>
      </w:r>
    </w:p>
    <w:bookmarkEnd w:id="85"/>
    <w:bookmarkStart w:id="86" w:name="Xba981581a0e2ee4b615c533a3cab45641d376d9"/>
    <w:p>
      <w:pPr>
        <w:pStyle w:val="Heading3"/>
      </w:pPr>
      <w:r>
        <w:t xml:space="preserve">Fase 2 (5-15 menit): Identifikasi Penyebab dan Eskalasi</w:t>
      </w:r>
    </w:p>
    <w:p>
      <w:pPr>
        <w:pStyle w:val="BlockText"/>
      </w:pPr>
      <w:r>
        <w:t xml:space="preserve">▸ Evaluasi '4T': Tone (atonia?) → masase uterus bimanual, cek</w:t>
      </w:r>
      <w:r>
        <w:t xml:space="preserve"> </w:t>
      </w:r>
      <w:r>
        <w:t xml:space="preserve">kontraksi</w:t>
      </w:r>
    </w:p>
    <w:p>
      <w:pPr>
        <w:pStyle w:val="BlockText"/>
      </w:pPr>
      <w:r>
        <w:t xml:space="preserve">▸ Tissue (sisa plasenta?) → periksa kelengkapan plasenta dan selaput</w:t>
      </w:r>
      <w:r>
        <w:t xml:space="preserve"> </w:t>
      </w:r>
      <w:r>
        <w:t xml:space="preserve">ketuban</w:t>
      </w:r>
    </w:p>
    <w:p>
      <w:pPr>
        <w:pStyle w:val="BlockText"/>
      </w:pPr>
      <w:r>
        <w:t xml:space="preserve">▸ Trauma (laserasi?) → periksa serviks, vagina, perineum secara</w:t>
      </w:r>
      <w:r>
        <w:t xml:space="preserve"> </w:t>
      </w:r>
      <w:r>
        <w:t xml:space="preserve">sistematis</w:t>
      </w:r>
    </w:p>
    <w:p>
      <w:pPr>
        <w:pStyle w:val="BlockText"/>
      </w:pPr>
      <w:r>
        <w:t xml:space="preserve">▸ Thrombin (koagulopati?) → nilai clotting time, perhatikan apakah</w:t>
      </w:r>
      <w:r>
        <w:t xml:space="preserve"> </w:t>
      </w:r>
      <w:r>
        <w:t xml:space="preserve">darah membeku</w:t>
      </w:r>
    </w:p>
    <w:p>
      <w:pPr>
        <w:pStyle w:val="BlockText"/>
      </w:pPr>
      <w:r>
        <w:t xml:space="preserve">▸ Ergometrin 0,2 mg IM (jika tidak hipertensi) + Misoprostol 800 mcg</w:t>
      </w:r>
      <w:r>
        <w:t xml:space="preserve"> </w:t>
      </w:r>
      <w:r>
        <w:t xml:space="preserve">sublingual</w:t>
      </w:r>
    </w:p>
    <w:p>
      <w:pPr>
        <w:pStyle w:val="BlockText"/>
      </w:pPr>
      <w:r>
        <w:t xml:space="preserve">▸ Asam Traneksamat 1g IV dalam 10 menit — DALAM 3 JAM dari</w:t>
      </w:r>
      <w:r>
        <w:t xml:space="preserve"> </w:t>
      </w:r>
      <w:r>
        <w:t xml:space="preserve">persalinan</w:t>
      </w:r>
    </w:p>
    <w:bookmarkEnd w:id="86"/>
    <w:bookmarkStart w:id="87" w:name="Xa1f911e982d4531f7ae9c1202cada0da52cb9a5"/>
    <w:p>
      <w:pPr>
        <w:pStyle w:val="Heading3"/>
      </w:pPr>
      <w:r>
        <w:t xml:space="preserve">Fase 3 (15-60 menit): Intervensi Lanjutan jika Perdarahan Berlanjut</w:t>
      </w:r>
    </w:p>
    <w:p>
      <w:pPr>
        <w:pStyle w:val="BlockText"/>
      </w:pPr>
      <w:r>
        <w:t xml:space="preserve">▸ Tamponade balon intrauterin (kondom kateter 500mL salin ATAU Bakri</w:t>
      </w:r>
      <w:r>
        <w:t xml:space="preserve"> </w:t>
      </w:r>
      <w:r>
        <w:t xml:space="preserve">balloon)</w:t>
      </w:r>
    </w:p>
    <w:p>
      <w:pPr>
        <w:pStyle w:val="BlockText"/>
      </w:pPr>
      <w:r>
        <w:t xml:space="preserve">▸ Mulai transfusi PRC jika Hb &lt;8 atau perdarahan masif</w:t>
      </w:r>
    </w:p>
    <w:p>
      <w:pPr>
        <w:pStyle w:val="BlockText"/>
      </w:pPr>
      <w:r>
        <w:t xml:space="preserve">▸ Pertimbangkan FFP jika perdarahan masif atau koagulopati</w:t>
      </w:r>
    </w:p>
    <w:p>
      <w:pPr>
        <w:pStyle w:val="BlockText"/>
      </w:pPr>
      <w:r>
        <w:t xml:space="preserve">▸ Karboprost 250mcg IM tiap 15 menit (maks 8 dosis) jika atonia</w:t>
      </w:r>
      <w:r>
        <w:t xml:space="preserve"> </w:t>
      </w:r>
      <w:r>
        <w:t xml:space="preserve">refrakter</w:t>
      </w:r>
    </w:p>
    <w:p>
      <w:pPr>
        <w:pStyle w:val="BlockText"/>
      </w:pPr>
      <w:r>
        <w:t xml:space="preserve">▸ Konsul bedah vaskuler/intervensi jika tersedia (embolisasi arteri</w:t>
      </w:r>
      <w:r>
        <w:t xml:space="preserve"> </w:t>
      </w:r>
      <w:r>
        <w:t xml:space="preserve">uterina)</w:t>
      </w:r>
    </w:p>
    <w:bookmarkEnd w:id="87"/>
    <w:bookmarkStart w:id="88" w:name="fase-4-60-menit-tindakan-bedah-definitif"/>
    <w:p>
      <w:pPr>
        <w:pStyle w:val="Heading3"/>
      </w:pPr>
      <w:r>
        <w:t xml:space="preserve">Fase 4 (&gt;60 menit): Tindakan Bedah Definitif</w:t>
      </w:r>
    </w:p>
    <w:p>
      <w:pPr>
        <w:pStyle w:val="BlockText"/>
      </w:pPr>
      <w:r>
        <w:t xml:space="preserve">▸ B-Lynch suture atau kompresi uterus lainnya</w:t>
      </w:r>
    </w:p>
    <w:p>
      <w:pPr>
        <w:pStyle w:val="BlockText"/>
      </w:pPr>
      <w:r>
        <w:t xml:space="preserve">▸ Ligasi arteri uterina bilateral (O'Leary sutures)</w:t>
      </w:r>
    </w:p>
    <w:p>
      <w:pPr>
        <w:pStyle w:val="BlockText"/>
      </w:pPr>
      <w:r>
        <w:t xml:space="preserve">▸ Ligasi arteri hipogastrika bilateral (jika kompetensi ada)</w:t>
      </w:r>
    </w:p>
    <w:p>
      <w:pPr>
        <w:pStyle w:val="BlockText"/>
      </w:pPr>
      <w:r>
        <w:t xml:space="preserve">▸ Histerektomi peripartum — JANGAN TUNDA jika semua upaya gagal dan</w:t>
      </w:r>
      <w:r>
        <w:t xml:space="preserve"> </w:t>
      </w:r>
      <w:r>
        <w:t xml:space="preserve">kondisi memburuk</w:t>
      </w:r>
    </w:p>
    <w:bookmarkEnd w:id="88"/>
    <w:bookmarkEnd w:id="89"/>
    <w:bookmarkStart w:id="90" w:name="X18c2cf48a3aa3857e431a8bc75f41eeb5bceb66"/>
    <w:p>
      <w:pPr>
        <w:pStyle w:val="Heading2"/>
      </w:pPr>
      <w:r>
        <w:t xml:space="preserve">SK.3 Panduan Konseling Kontrasepsi Pasca-Persalinan</w:t>
      </w:r>
    </w:p>
    <w:p>
      <w:pPr>
        <w:pStyle w:val="FirstParagraph"/>
      </w:pPr>
      <w:r>
        <w:t xml:space="preserve">Konseling KBPP yang efektif dimulai dari kunjungan ANC ketiga trimester</w:t>
      </w:r>
      <w:r>
        <w:t xml:space="preserve"> </w:t>
      </w:r>
      <w:r>
        <w:t xml:space="preserve">— bukan saat ibu baru saja melahirkan dan kelelahan. Prinsip KBPP:</w:t>
      </w:r>
      <w:r>
        <w:t xml:space="preserve"> </w:t>
      </w:r>
      <w:r>
        <w:t xml:space="preserve">konseling seharusnya memungkinkan ibu membuat keputusan yang benar-benar</w:t>
      </w:r>
      <w:r>
        <w:t xml:space="preserve"> </w:t>
      </w:r>
      <w:r>
        <w:t xml:space="preserve">informed SEBELUM persalinan, sehingga saat di fasilitas setelah</w:t>
      </w:r>
      <w:r>
        <w:t xml:space="preserve"> </w:t>
      </w:r>
      <w:r>
        <w:t xml:space="preserve">melahirkan tinggal konfirmasi pilihan dan pelaksanaan.</w:t>
      </w:r>
    </w:p>
    <w:tbl>
      <w:tblPr>
        <w:tblStyle w:val="Table"/>
        <w:tblW w:type="pct" w:w="4870"/>
        <w:tblLook w:firstRow="1" w:lastRow="0" w:firstColumn="0" w:lastColumn="0" w:noHBand="0" w:noVBand="0" w:val="0020"/>
        <w:jc w:val="start"/>
      </w:tblPr>
      <w:tblGrid>
        <w:gridCol w:w="1954"/>
        <w:gridCol w:w="1954"/>
        <w:gridCol w:w="1851"/>
        <w:gridCol w:w="195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Metode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Waktu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Pemberian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Keunggulan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Pertimbangan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AKDR</w:t>
            </w:r>
            <w:r>
              <w:t xml:space="preserve"> </w:t>
            </w:r>
            <w:r>
              <w:t xml:space="preserve">Pasca-Plasenta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menit setelah</w:t>
            </w:r>
            <w:r>
              <w:t xml:space="preserve"> </w:t>
            </w:r>
            <w:r>
              <w:t xml:space="preserve">lahirnya plasenta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Efektivitas</w:t>
            </w:r>
            <w:r>
              <w:t xml:space="preserve"> </w:t>
            </w:r>
            <w:r>
              <w:t xml:space="preserve">tinggi, tidak ada</w:t>
            </w:r>
            <w:r>
              <w:t xml:space="preserve"> </w:t>
            </w:r>
            <w:r>
              <w:t xml:space="preserve">'lupa',</w:t>
            </w:r>
            <w:r>
              <w:t xml:space="preserve"> </w:t>
            </w:r>
            <w:r>
              <w:t xml:space="preserve">reversibel, tidak</w:t>
            </w:r>
            <w:r>
              <w:t xml:space="preserve"> </w:t>
            </w:r>
            <w:r>
              <w:t xml:space="preserve">mempengaruhi</w:t>
            </w:r>
            <w:r>
              <w:t xml:space="preserve"> </w:t>
            </w:r>
            <w:r>
              <w:t xml:space="preserve">laktasi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Harus tenaga</w:t>
            </w:r>
            <w:r>
              <w:t xml:space="preserve"> </w:t>
            </w:r>
            <w:r>
              <w:t xml:space="preserve">terlatih; ekspulsi</w:t>
            </w:r>
            <w:r>
              <w:t xml:space="preserve"> </w:t>
            </w:r>
            <w:r>
              <w:t xml:space="preserve">10-15% (lebih</w:t>
            </w:r>
            <w:r>
              <w:t xml:space="preserve"> </w:t>
            </w:r>
            <w:r>
              <w:t xml:space="preserve">rendah dari</w:t>
            </w:r>
            <w:r>
              <w:t xml:space="preserve"> </w:t>
            </w:r>
            <w:r>
              <w:t xml:space="preserve">interval)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Implan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Sebelum</w:t>
            </w:r>
            <w:r>
              <w:t xml:space="preserve"> </w:t>
            </w:r>
            <w:r>
              <w:t xml:space="preserve">meninggalkan</w:t>
            </w:r>
            <w:r>
              <w:t xml:space="preserve"> </w:t>
            </w:r>
            <w:r>
              <w:t xml:space="preserve">fasilitas (0-72</w:t>
            </w:r>
            <w:r>
              <w:t xml:space="preserve"> </w:t>
            </w:r>
            <w:r>
              <w:t xml:space="preserve">jam)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3-5 tahun</w:t>
            </w:r>
            <w:r>
              <w:t xml:space="preserve"> </w:t>
            </w:r>
            <w:r>
              <w:t xml:space="preserve">proteksi,</w:t>
            </w:r>
            <w:r>
              <w:t xml:space="preserve"> </w:t>
            </w:r>
            <w:r>
              <w:t xml:space="preserve">set-and-forget,</w:t>
            </w:r>
            <w:r>
              <w:t xml:space="preserve"> </w:t>
            </w:r>
            <w:r>
              <w:t xml:space="preserve">reversibel, aman</w:t>
            </w:r>
            <w:r>
              <w:t xml:space="preserve"> </w:t>
            </w:r>
            <w:r>
              <w:t xml:space="preserve">laktasi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Perlu alat khusus;</w:t>
            </w:r>
            <w:r>
              <w:t xml:space="preserve"> </w:t>
            </w:r>
            <w:r>
              <w:t xml:space="preserve">perdarahan tidak</w:t>
            </w:r>
            <w:r>
              <w:t xml:space="preserve"> </w:t>
            </w:r>
            <w:r>
              <w:t xml:space="preserve">teratur umum 3-6</w:t>
            </w:r>
            <w:r>
              <w:t xml:space="preserve"> </w:t>
            </w:r>
            <w:r>
              <w:t xml:space="preserve">bulan pertama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Segera setelah</w:t>
            </w:r>
            <w:r>
              <w:t xml:space="preserve"> </w:t>
            </w:r>
            <w:r>
              <w:t xml:space="preserve">persalinan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Gratis, tanpa</w:t>
            </w:r>
            <w:r>
              <w:t xml:space="preserve"> </w:t>
            </w:r>
            <w:r>
              <w:t xml:space="preserve">efek samping,</w:t>
            </w:r>
            <w:r>
              <w:t xml:space="preserve"> </w:t>
            </w:r>
            <w:r>
              <w:t xml:space="preserve">mendukung ASI</w:t>
            </w:r>
            <w:r>
              <w:t xml:space="preserve"> </w:t>
            </w:r>
            <w:r>
              <w:t xml:space="preserve">eksklusif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Hanya efektif 6</w:t>
            </w:r>
            <w:r>
              <w:t xml:space="preserve"> </w:t>
            </w:r>
            <w:r>
              <w:t xml:space="preserve">bulan, harus ASI</w:t>
            </w:r>
            <w:r>
              <w:t xml:space="preserve"> </w:t>
            </w:r>
            <w:r>
              <w:t xml:space="preserve">eksklusif + belum</w:t>
            </w:r>
            <w:r>
              <w:t xml:space="preserve"> </w:t>
            </w:r>
            <w:r>
              <w:t xml:space="preserve">haid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Progestin-only</w:t>
            </w:r>
            <w:r>
              <w:t xml:space="preserve"> </w:t>
            </w:r>
            <w:r>
              <w:t xml:space="preserve">Pill (POP)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 minggu</w:t>
            </w:r>
            <w:r>
              <w:t xml:space="preserve"> </w:t>
            </w:r>
            <w:r>
              <w:t xml:space="preserve">postpartum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Aman untuk</w:t>
            </w:r>
            <w:r>
              <w:t xml:space="preserve"> </w:t>
            </w:r>
            <w:r>
              <w:t xml:space="preserve">menyusui, oral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Harus diminum tiap</w:t>
            </w:r>
            <w:r>
              <w:t xml:space="preserve"> </w:t>
            </w:r>
            <w:r>
              <w:t xml:space="preserve">hari pada jam yang</w:t>
            </w:r>
            <w:r>
              <w:t xml:space="preserve"> </w:t>
            </w:r>
            <w:r>
              <w:t xml:space="preserve">sama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Suntik DMPA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 minggu</w:t>
            </w:r>
            <w:r>
              <w:t xml:space="preserve"> </w:t>
            </w:r>
            <w:r>
              <w:t xml:space="preserve">postpartum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 bulan proteksi,</w:t>
            </w:r>
            <w:r>
              <w:t xml:space="preserve"> </w:t>
            </w:r>
            <w:r>
              <w:t xml:space="preserve">tidak</w:t>
            </w:r>
            <w:r>
              <w:t xml:space="preserve"> </w:t>
            </w:r>
            <w:r>
              <w:t xml:space="preserve">mempengaruhi ASI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Amenore,</w:t>
            </w:r>
            <w:r>
              <w:t xml:space="preserve"> </w:t>
            </w:r>
            <w:r>
              <w:t xml:space="preserve">keterlambatan</w:t>
            </w:r>
            <w:r>
              <w:t xml:space="preserve"> </w:t>
            </w:r>
            <w:r>
              <w:t xml:space="preserve">kembali fertilitas</w:t>
            </w:r>
            <w:r>
              <w:t xml:space="preserve"> </w:t>
            </w:r>
            <w:r>
              <w:t xml:space="preserve">1-2 tahun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Kondom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Segera setelah</w:t>
            </w:r>
            <w:r>
              <w:t xml:space="preserve"> </w:t>
            </w:r>
            <w:r>
              <w:t xml:space="preserve">persalinan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Proteksi IMS</w:t>
            </w:r>
            <w:r>
              <w:t xml:space="preserve"> </w:t>
            </w:r>
            <w:r>
              <w:t xml:space="preserve">juga, tanpa efek</w:t>
            </w:r>
            <w:r>
              <w:t xml:space="preserve"> </w:t>
            </w:r>
            <w:r>
              <w:t xml:space="preserve">hormonal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Butuh konsistensi</w:t>
            </w:r>
            <w:r>
              <w:t xml:space="preserve"> </w:t>
            </w:r>
            <w:r>
              <w:t xml:space="preserve">setiap kali</w:t>
            </w:r>
            <w:r>
              <w:t xml:space="preserve"> </w:t>
            </w:r>
            <w:r>
              <w:t xml:space="preserve">berhubungan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MOW/Tubektomi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0-7 hari</w:t>
            </w:r>
            <w:r>
              <w:t xml:space="preserve"> </w:t>
            </w:r>
            <w:r>
              <w:t xml:space="preserve">postpartum</w:t>
            </w:r>
            <w:r>
              <w:t xml:space="preserve"> </w:t>
            </w:r>
            <w:r>
              <w:t xml:space="preserve">(minilaparotomi)</w:t>
            </w:r>
            <w:r>
              <w:t xml:space="preserve"> </w:t>
            </w:r>
            <w:r>
              <w:t xml:space="preserve">atau interval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Permanen, 99,5%</w:t>
            </w:r>
            <w:r>
              <w:t xml:space="preserve"> </w:t>
            </w:r>
            <w:r>
              <w:t xml:space="preserve">efektif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Permanen —</w:t>
            </w:r>
            <w:r>
              <w:t xml:space="preserve"> </w:t>
            </w:r>
            <w:r>
              <w:t xml:space="preserve">konseling sangat</w:t>
            </w:r>
            <w:r>
              <w:t xml:space="preserve"> </w:t>
            </w:r>
            <w:r>
              <w:t xml:space="preserve">mendalam</w:t>
            </w:r>
            <w:r>
              <w:t xml:space="preserve"> </w:t>
            </w:r>
            <w:r>
              <w:t xml:space="preserve">diperlukan</w:t>
            </w:r>
          </w:p>
        </w:tc>
      </w:tr>
    </w:tbl>
    <w:bookmarkEnd w:id="90"/>
    <w:bookmarkStart w:id="91" w:name="X7f98fb1c1702f7bda17bd2764fb49e1d87a865d"/>
    <w:p>
      <w:pPr>
        <w:pStyle w:val="Heading2"/>
      </w:pPr>
      <w:r>
        <w:t xml:space="preserve">SK.4 Checklist Indikator Kinerja Unit Obstetri</w:t>
      </w:r>
    </w:p>
    <w:p>
      <w:pPr>
        <w:pStyle w:val="FirstParagraph"/>
      </w:pPr>
      <w:r>
        <w:t xml:space="preserve">Gunakan indikator-indikator berikut untuk monitoring kualitas rutin</w:t>
      </w:r>
      <w:r>
        <w:t xml:space="preserve"> </w:t>
      </w:r>
      <w:r>
        <w:t xml:space="preserve">(direkomendasikan: review bulanan dalam pertemuan tim):</w:t>
      </w:r>
    </w:p>
    <w:tbl>
      <w:tblPr>
        <w:tblStyle w:val="Table"/>
        <w:tblW w:type="pct" w:w="4868"/>
        <w:tblLook w:firstRow="1" w:lastRow="0" w:firstColumn="0" w:lastColumn="0" w:noHBand="0" w:noVBand="0" w:val="0020"/>
        <w:jc w:val="start"/>
      </w:tblPr>
      <w:tblGrid>
        <w:gridCol w:w="2501"/>
        <w:gridCol w:w="2605"/>
        <w:gridCol w:w="2605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Indikator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Target/Standar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Tindakan jika Tidak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Tercapai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 Rate keseluruhan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10-15% (WHO); analisis</w:t>
            </w:r>
            <w:r>
              <w:t xml:space="preserve"> </w:t>
            </w:r>
            <w:r>
              <w:t xml:space="preserve">per klasifikasi Robson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Audit kasus SC;</w:t>
            </w:r>
            <w:r>
              <w:t xml:space="preserve"> </w:t>
            </w:r>
            <w:r>
              <w:t xml:space="preserve">identifikasi kelompok</w:t>
            </w:r>
            <w:r>
              <w:t xml:space="preserve"> </w:t>
            </w:r>
            <w:r>
              <w:t xml:space="preserve">Robson yang</w:t>
            </w:r>
            <w:r>
              <w:t xml:space="preserve"> </w:t>
            </w:r>
            <w:r>
              <w:t xml:space="preserve">berkontribusi besar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Decision-to-Incision</w:t>
            </w:r>
            <w:r>
              <w:t xml:space="preserve"> </w:t>
            </w:r>
            <w:r>
              <w:t xml:space="preserve">time SC emergensi</w:t>
            </w:r>
            <w:r>
              <w:t xml:space="preserve"> </w:t>
            </w:r>
            <w:r>
              <w:t xml:space="preserve">(kategori 1)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30 menit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Investigasi hambatan</w:t>
            </w:r>
            <w:r>
              <w:t xml:space="preserve"> </w:t>
            </w:r>
            <w:r>
              <w:t xml:space="preserve">prosedural; latihan</w:t>
            </w:r>
            <w:r>
              <w:t xml:space="preserve"> </w:t>
            </w:r>
            <w:r>
              <w:t xml:space="preserve">simulasi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Cakupan AMTSL pada</w:t>
            </w:r>
            <w:r>
              <w:t xml:space="preserve"> </w:t>
            </w:r>
            <w:r>
              <w:t xml:space="preserve">persalinan normal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&gt; 95%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Training refresher;</w:t>
            </w:r>
            <w:r>
              <w:t xml:space="preserve"> </w:t>
            </w:r>
            <w:r>
              <w:t xml:space="preserve">audit kepatuhan</w:t>
            </w:r>
            <w:r>
              <w:t xml:space="preserve"> </w:t>
            </w:r>
            <w:r>
              <w:t xml:space="preserve">protokol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Angka PPH mayor (&gt;1000</w:t>
            </w:r>
            <w:r>
              <w:t xml:space="preserve"> </w:t>
            </w:r>
            <w:r>
              <w:t xml:space="preserve">mL)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5% dari semua</w:t>
            </w:r>
            <w:r>
              <w:t xml:space="preserve"> </w:t>
            </w:r>
            <w:r>
              <w:t xml:space="preserve">persalinan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Review kualitas AMTSL;</w:t>
            </w:r>
            <w:r>
              <w:t xml:space="preserve"> </w:t>
            </w:r>
            <w:r>
              <w:t xml:space="preserve">audit kasus PPH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Angka eklampsia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 0.2% dari ibu hamil</w:t>
            </w:r>
            <w:r>
              <w:t xml:space="preserve"> </w:t>
            </w:r>
            <w:r>
              <w:t xml:space="preserve">yang dilayani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Evaluasi kualitas ANC</w:t>
            </w:r>
            <w:r>
              <w:t xml:space="preserve"> </w:t>
            </w:r>
            <w:r>
              <w:t xml:space="preserve">dan skrining</w:t>
            </w:r>
            <w:r>
              <w:t xml:space="preserve"> </w:t>
            </w:r>
            <w:r>
              <w:t xml:space="preserve">pre-eklampsia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Near-miss review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 dari kasus</w:t>
            </w:r>
            <w:r>
              <w:t xml:space="preserve"> </w:t>
            </w:r>
            <w:r>
              <w:t xml:space="preserve">near-miss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Perkuat sistem</w:t>
            </w:r>
            <w:r>
              <w:t xml:space="preserve"> </w:t>
            </w:r>
            <w:r>
              <w:t xml:space="preserve">identifikasi dan</w:t>
            </w:r>
            <w:r>
              <w:t xml:space="preserve"> </w:t>
            </w:r>
            <w:r>
              <w:t xml:space="preserve">pelaporan near-miss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Kematian maternal di</w:t>
            </w:r>
            <w:r>
              <w:t xml:space="preserve"> </w:t>
            </w:r>
            <w:r>
              <w:t xml:space="preserve">fasilitas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 (zero preventable</w:t>
            </w:r>
            <w:r>
              <w:t xml:space="preserve"> </w:t>
            </w:r>
            <w:r>
              <w:t xml:space="preserve">deaths)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AMP wajib dalam 2</w:t>
            </w:r>
            <w:r>
              <w:t xml:space="preserve"> </w:t>
            </w:r>
            <w:r>
              <w:t xml:space="preserve">minggu; implementasi</w:t>
            </w:r>
            <w:r>
              <w:t xml:space="preserve"> </w:t>
            </w:r>
            <w:r>
              <w:t xml:space="preserve">rekomendasi 100%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Kepuasan pasien</w:t>
            </w:r>
            <w:r>
              <w:t xml:space="preserve"> </w:t>
            </w:r>
            <w:r>
              <w:t xml:space="preserve">(persalinan)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≥ 85% 'puas' atau</w:t>
            </w:r>
            <w:r>
              <w:t xml:space="preserve"> </w:t>
            </w:r>
            <w:r>
              <w:t xml:space="preserve">'sangat puas'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Survei rutin; focus</w:t>
            </w:r>
            <w:r>
              <w:t xml:space="preserve"> </w:t>
            </w:r>
            <w:r>
              <w:t xml:space="preserve">group discussion dengan</w:t>
            </w:r>
            <w:r>
              <w:t xml:space="preserve"> </w:t>
            </w:r>
            <w:r>
              <w:t xml:space="preserve">pasien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Kelengkapan pengisian</w:t>
            </w:r>
            <w:r>
              <w:t xml:space="preserve"> </w:t>
            </w:r>
            <w:r>
              <w:t xml:space="preserve">partograf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≥ 95%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Audit rekam medis;</w:t>
            </w:r>
            <w:r>
              <w:t xml:space="preserve"> </w:t>
            </w:r>
            <w:r>
              <w:t xml:space="preserve">training dokumentasi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Cakupan EPDS dalam</w:t>
            </w:r>
            <w:r>
              <w:t xml:space="preserve"> </w:t>
            </w:r>
            <w:r>
              <w:t xml:space="preserve">kunjungan nifas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≥ 80%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Integrasi EPDS dalam</w:t>
            </w:r>
            <w:r>
              <w:t xml:space="preserve"> </w:t>
            </w:r>
            <w:r>
              <w:t xml:space="preserve">SOP kunjungan nifas</w:t>
            </w:r>
          </w:p>
        </w:tc>
      </w:tr>
    </w:tbl>
    <w:p>
      <w:pPr>
        <w:pStyle w:val="BodyText"/>
      </w:pPr>
      <w:r>
        <w:rPr>
          <w:bCs/>
          <w:b/>
        </w:rPr>
        <w:t xml:space="preserve">LAMPIRAN DAN REFERENSI</w:t>
      </w:r>
    </w:p>
    <w:bookmarkEnd w:id="91"/>
    <w:bookmarkStart w:id="95" w:name="Xe34259d61f9103b6d28fbcf5d15f65b5bc1e08b"/>
    <w:p>
      <w:pPr>
        <w:pStyle w:val="Heading2"/>
      </w:pPr>
      <w:r>
        <w:t xml:space="preserve">Lampiran A — Instrumen Skrining dan Penilaian</w:t>
      </w:r>
    </w:p>
    <w:bookmarkStart w:id="92" w:name="X96236317b9ac6fbf511ade55ab657a3e32e2702"/>
    <w:p>
      <w:pPr>
        <w:pStyle w:val="Heading3"/>
      </w:pPr>
      <w:r>
        <w:t xml:space="preserve">A.1 Kartu Skor Poedji Rochjati — Panduan Lengkap</w:t>
      </w:r>
    </w:p>
    <w:p>
      <w:pPr>
        <w:pStyle w:val="FirstParagraph"/>
      </w:pPr>
      <w:r>
        <w:t xml:space="preserve">KSPR mengklasifikasikan risiko kehamilan berdasarkan total skor faktor</w:t>
      </w:r>
      <w:r>
        <w:t xml:space="preserve"> </w:t>
      </w:r>
      <w:r>
        <w:t xml:space="preserve">risiko: Kelompok I (skor 2, risiko rendah — bersalin di</w:t>
      </w:r>
      <w:r>
        <w:t xml:space="preserve"> </w:t>
      </w:r>
      <w:r>
        <w:t xml:space="preserve">bidan/Puskesmas), Kelompok II (skor 6-10, risiko tinggi — bersalin di</w:t>
      </w:r>
      <w:r>
        <w:t xml:space="preserve"> </w:t>
      </w:r>
      <w:r>
        <w:t xml:space="preserve">PONED/PONEK), Kelompok III (skor ≥12, risiko sangat tinggi — wajib</w:t>
      </w:r>
      <w:r>
        <w:t xml:space="preserve"> </w:t>
      </w:r>
      <w:r>
        <w:t xml:space="preserve">bersalin di RS dengan kemampuan bedah).</w:t>
      </w:r>
    </w:p>
    <w:tbl>
      <w:tblPr>
        <w:tblStyle w:val="Table"/>
        <w:tblW w:type="pct" w:w="4865"/>
        <w:tblLook w:firstRow="1" w:lastRow="0" w:firstColumn="0" w:lastColumn="0" w:noHBand="0" w:noVBand="0" w:val="0020"/>
        <w:jc w:val="start"/>
      </w:tblPr>
      <w:tblGrid>
        <w:gridCol w:w="3852"/>
        <w:gridCol w:w="385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Faktor Risiko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Skor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Skor awal semua ibu hamil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Usia &lt; 16 th atau &gt; 35 th (hamil</w:t>
            </w:r>
            <w:r>
              <w:t xml:space="preserve"> </w:t>
            </w:r>
            <w:r>
              <w:t xml:space="preserve">pertama)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Terlalu cepat hamil lagi (&lt; 2</w:t>
            </w:r>
            <w:r>
              <w:t xml:space="preserve"> </w:t>
            </w:r>
            <w:r>
              <w:t xml:space="preserve">tahun)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Terlalu lama hamil lagi (&gt; 10</w:t>
            </w:r>
            <w:r>
              <w:t xml:space="preserve"> </w:t>
            </w:r>
            <w:r>
              <w:t xml:space="preserve">tahun)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Terlalu banyak anak (≥ 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Tinggi badan &lt; 145 cm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Pernah gagal kehamilan / abortus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Pernah SC / tindakan operasi</w:t>
            </w:r>
            <w:r>
              <w:t xml:space="preserve"> </w:t>
            </w:r>
            <w:r>
              <w:t xml:space="preserve">persalinan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Pernah nifas dengan komplikasi</w:t>
            </w:r>
            <w:r>
              <w:t xml:space="preserve"> </w:t>
            </w:r>
            <w:r>
              <w:t xml:space="preserve">berat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Hamil kembar / hidramnion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Kehamilan lebih bulan (&gt; 42</w:t>
            </w:r>
            <w:r>
              <w:t xml:space="preserve"> </w:t>
            </w:r>
            <w:r>
              <w:t xml:space="preserve">minggu)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Letak sungsang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Letak lintang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Perdarahan antepartum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Pre-eklampsia berat / eklampsia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Penyakit kronis (jantung, DM, TB,</w:t>
            </w:r>
            <w:r>
              <w:t xml:space="preserve"> </w:t>
            </w:r>
            <w:r>
              <w:t xml:space="preserve">dll)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</w:tr>
    </w:tbl>
    <w:bookmarkEnd w:id="92"/>
    <w:bookmarkStart w:id="93" w:name="X7a4b1b9920884a7f0edcfd67224bdc8b6a17037"/>
    <w:p>
      <w:pPr>
        <w:pStyle w:val="Heading3"/>
      </w:pPr>
      <w:r>
        <w:t xml:space="preserve">A.2 Edinburgh Postnatal Depression Scale (EPDS) — Versi Indonesia</w:t>
      </w:r>
    </w:p>
    <w:p>
      <w:pPr>
        <w:pStyle w:val="FirstParagraph"/>
      </w:pPr>
      <w:r>
        <w:t xml:space="preserve">Instruksi: Karena Anda baru saja melahirkan (atau sedang hamil), kami</w:t>
      </w:r>
      <w:r>
        <w:t xml:space="preserve"> </w:t>
      </w:r>
      <w:r>
        <w:t xml:space="preserve">ingin mengetahui perasaan Anda. Mohon lingkari jawaban yang paling dekat</w:t>
      </w:r>
      <w:r>
        <w:t xml:space="preserve"> </w:t>
      </w:r>
      <w:r>
        <w:t xml:space="preserve">dengan perasaan Anda dalam 7 hari terakhir.</w:t>
      </w:r>
    </w:p>
    <w:tbl>
      <w:tblPr>
        <w:tblStyle w:val="Table"/>
        <w:tblW w:type="pct" w:w="4865"/>
        <w:tblLook w:firstRow="1" w:lastRow="0" w:firstColumn="0" w:lastColumn="0" w:noHBand="0" w:noVBand="0" w:val="0020"/>
        <w:jc w:val="start"/>
      </w:tblPr>
      <w:tblGrid>
        <w:gridCol w:w="3852"/>
        <w:gridCol w:w="385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No. Pertanyaan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Pilihan Jawaban (skor 0-3)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1. Saya mampu tertawa dan melihat</w:t>
            </w:r>
            <w:r>
              <w:t xml:space="preserve"> </w:t>
            </w:r>
            <w:r>
              <w:t xml:space="preserve">sisi lucu dari segala hal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0=Seperti biasanya | 1=Agak kurang</w:t>
            </w:r>
            <w:r>
              <w:t xml:space="preserve"> </w:t>
            </w:r>
            <w:r>
              <w:t xml:space="preserve">| 2=Jauh berkurang | 3=Sama</w:t>
            </w:r>
            <w:r>
              <w:t xml:space="preserve"> </w:t>
            </w:r>
            <w:r>
              <w:t xml:space="preserve">sekali tidak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2. Saya menantikan sesuatu dengan</w:t>
            </w:r>
            <w:r>
              <w:t xml:space="preserve"> </w:t>
            </w:r>
            <w:r>
              <w:t xml:space="preserve">senang hati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0=Seperti biasanya | 1=Agak kurang</w:t>
            </w:r>
            <w:r>
              <w:t xml:space="preserve"> </w:t>
            </w:r>
            <w:r>
              <w:t xml:space="preserve">| 2=Jauh kurang | 3=Hampir tidak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3. Saya menyalahkan diri sendiri</w:t>
            </w:r>
            <w:r>
              <w:t xml:space="preserve"> </w:t>
            </w:r>
            <w:r>
              <w:t xml:space="preserve">tanpa alasan ketika sesuatu</w:t>
            </w:r>
            <w:r>
              <w:t xml:space="preserve"> </w:t>
            </w:r>
            <w:r>
              <w:t xml:space="preserve">berjalan tidak lancar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3=Ya, hampir selalu | 2=Ya,</w:t>
            </w:r>
            <w:r>
              <w:t xml:space="preserve"> </w:t>
            </w:r>
            <w:r>
              <w:t xml:space="preserve">kadang-kadang | 1=Tidak sering |</w:t>
            </w:r>
            <w:r>
              <w:t xml:space="preserve"> </w:t>
            </w:r>
            <w:r>
              <w:t xml:space="preserve">0=Tidak pernah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4. Saya merasa cemas atau khawatir</w:t>
            </w:r>
            <w:r>
              <w:t xml:space="preserve"> </w:t>
            </w:r>
            <w:r>
              <w:t xml:space="preserve">tanpa alasan jelas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0=Tidak, sama sekali | 1=Hampir</w:t>
            </w:r>
            <w:r>
              <w:t xml:space="preserve"> </w:t>
            </w:r>
            <w:r>
              <w:t xml:space="preserve">tidak | 2=Ya, kadang-kadang |</w:t>
            </w:r>
            <w:r>
              <w:t xml:space="preserve"> </w:t>
            </w:r>
            <w:r>
              <w:t xml:space="preserve">3=Ya, sangat sering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5. Saya merasa takut atau panik</w:t>
            </w:r>
            <w:r>
              <w:t xml:space="preserve"> </w:t>
            </w:r>
            <w:r>
              <w:t xml:space="preserve">tanpa alasan kuat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3=Ya, cukup sering | 2=Ya,</w:t>
            </w:r>
            <w:r>
              <w:t xml:space="preserve"> </w:t>
            </w:r>
            <w:r>
              <w:t xml:space="preserve">kadang-kadang | 1=Tidak, tidak</w:t>
            </w:r>
            <w:r>
              <w:t xml:space="preserve"> </w:t>
            </w:r>
            <w:r>
              <w:t xml:space="preserve">sering | 0=Tidak, tidak sama</w:t>
            </w:r>
            <w:r>
              <w:t xml:space="preserve"> </w:t>
            </w:r>
            <w:r>
              <w:t xml:space="preserve">sekali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6. Berbagai hal terasa memberatkan</w:t>
            </w:r>
            <w:r>
              <w:t xml:space="preserve"> </w:t>
            </w:r>
            <w:r>
              <w:t xml:space="preserve">saya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3=Ya, tidak mampu mengatasi |</w:t>
            </w:r>
            <w:r>
              <w:t xml:space="preserve"> </w:t>
            </w:r>
            <w:r>
              <w:t xml:space="preserve">2=Ya, kadang tidak bisa mengatasi</w:t>
            </w:r>
            <w:r>
              <w:t xml:space="preserve"> </w:t>
            </w:r>
            <w:r>
              <w:t xml:space="preserve">| 1=Tidak, biasanya mampu |</w:t>
            </w:r>
            <w:r>
              <w:t xml:space="preserve"> </w:t>
            </w:r>
            <w:r>
              <w:t xml:space="preserve">0=Tidak, seperti biasanya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7. Saya sangat tidak bahagia</w:t>
            </w:r>
            <w:r>
              <w:t xml:space="preserve"> </w:t>
            </w:r>
            <w:r>
              <w:t xml:space="preserve">sehingga sulit tidur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3=Ya, hampir selalu | 2=Ya,</w:t>
            </w:r>
            <w:r>
              <w:t xml:space="preserve"> </w:t>
            </w:r>
            <w:r>
              <w:t xml:space="preserve">kadang-kadang | 1=Tidak sering |</w:t>
            </w:r>
            <w:r>
              <w:t xml:space="preserve"> </w:t>
            </w:r>
            <w:r>
              <w:t xml:space="preserve">0=Tidak, tidak pernah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8. Saya merasa sedih atau sengsara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3=Ya, hampir selalu | 2=Ya, cukup</w:t>
            </w:r>
            <w:r>
              <w:t xml:space="preserve"> </w:t>
            </w:r>
            <w:r>
              <w:t xml:space="preserve">sering | 1=Tidak sering |</w:t>
            </w:r>
            <w:r>
              <w:t xml:space="preserve"> </w:t>
            </w:r>
            <w:r>
              <w:t xml:space="preserve">0=Tidak, tidak pernah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9. Saya sangat tidak bahagia</w:t>
            </w:r>
            <w:r>
              <w:t xml:space="preserve"> </w:t>
            </w:r>
            <w:r>
              <w:t xml:space="preserve">sehingga menangis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3=Ya, hampir selalu | 2=Ya, cukup</w:t>
            </w:r>
            <w:r>
              <w:t xml:space="preserve"> </w:t>
            </w:r>
            <w:r>
              <w:t xml:space="preserve">sering | 1=Hanya sesekali |</w:t>
            </w:r>
            <w:r>
              <w:t xml:space="preserve"> </w:t>
            </w:r>
            <w:r>
              <w:t xml:space="preserve">0=Tidak, tidak pernah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10. Saya pernah berpikir untuk</w:t>
            </w:r>
            <w:r>
              <w:t xml:space="preserve"> </w:t>
            </w:r>
            <w:r>
              <w:t xml:space="preserve">menyakiti diri sendiri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3=Ya, cukup sering |</w:t>
            </w:r>
            <w:r>
              <w:t xml:space="preserve"> </w:t>
            </w:r>
            <w:r>
              <w:t xml:space="preserve">2=Kadang-kadang | 1=Hampir tidak</w:t>
            </w:r>
            <w:r>
              <w:t xml:space="preserve"> </w:t>
            </w:r>
            <w:r>
              <w:t xml:space="preserve">pernah | 0=Tidak, tidak pernah</w:t>
            </w:r>
          </w:p>
        </w:tc>
      </w:tr>
    </w:tbl>
    <w:p>
      <w:pPr>
        <w:pStyle w:val="BodyText"/>
      </w:pPr>
      <w:r>
        <w:t xml:space="preserve">Interpretasi: 0-9 = kemungkinan tidak depresi; 10-12 = perlu follow-up</w:t>
      </w:r>
      <w:r>
        <w:t xml:space="preserve"> </w:t>
      </w:r>
      <w:r>
        <w:t xml:space="preserve">dan konseling; ≥13 = kemungkinan DPP, perlu evaluasi psikiatri. Item 10</w:t>
      </w:r>
      <w:r>
        <w:t xml:space="preserve"> </w:t>
      </w:r>
      <w:r>
        <w:t xml:space="preserve">≠ 0 → evaluasi risiko segera.</w:t>
      </w:r>
    </w:p>
    <w:bookmarkEnd w:id="93"/>
    <w:bookmarkStart w:id="94" w:name="a.3-hits-skrining-ipv-dalam-anc"/>
    <w:p>
      <w:pPr>
        <w:pStyle w:val="Heading3"/>
      </w:pPr>
      <w:r>
        <w:t xml:space="preserve">A.3 HITS — Skrining IPV dalam ANC</w:t>
      </w:r>
    </w:p>
    <w:p>
      <w:pPr>
        <w:pStyle w:val="FirstParagraph"/>
      </w:pPr>
      <w:r>
        <w:t xml:space="preserve">Tanyakan kepada setiap ibu hamil secara privat: 'Seberapa sering</w:t>
      </w:r>
      <w:r>
        <w:t xml:space="preserve"> </w:t>
      </w:r>
      <w:r>
        <w:t xml:space="preserve">pasangan Anda melakukan hal-hal berikut?' (1=Tidak pernah, 2=Jarang,</w:t>
      </w:r>
      <w:r>
        <w:t xml:space="preserve"> </w:t>
      </w:r>
      <w:r>
        <w:t xml:space="preserve">3=Kadang, 4=Sering, 5=Selalu). (H) Menyakiti Anda secara fisik? (I)</w:t>
      </w:r>
      <w:r>
        <w:t xml:space="preserve"> </w:t>
      </w:r>
      <w:r>
        <w:t xml:space="preserve">Menghina atau merendahkan Anda? (T) Mengancam dengan kekerasan? (S)</w:t>
      </w:r>
      <w:r>
        <w:t xml:space="preserve"> </w:t>
      </w:r>
      <w:r>
        <w:t xml:space="preserve">Berteriak atau memaki Anda? Skor ≥11 = indikasi IPV bermakna.</w:t>
      </w:r>
    </w:p>
    <w:bookmarkEnd w:id="94"/>
    <w:bookmarkEnd w:id="95"/>
    <w:bookmarkStart w:id="98" w:name="lampiran-b-regulasi-kritis"/>
    <w:p>
      <w:pPr>
        <w:pStyle w:val="Heading2"/>
      </w:pPr>
      <w:r>
        <w:t xml:space="preserve">Lampiran B — Regulasi Kritis</w:t>
      </w:r>
    </w:p>
    <w:bookmarkStart w:id="96" w:name="X90873c4d117360c1b4f53be2b0500abfd95eccc"/>
    <w:p>
      <w:pPr>
        <w:pStyle w:val="Heading3"/>
      </w:pPr>
      <w:r>
        <w:t xml:space="preserve">B.1 Pasal-Pasal Kunci UU No. 17 Tahun 2023</w:t>
      </w:r>
    </w:p>
    <w:tbl>
      <w:tblPr>
        <w:tblStyle w:val="Table"/>
        <w:tblW w:type="pct" w:w="4865"/>
        <w:tblLook w:firstRow="1" w:lastRow="0" w:firstColumn="0" w:lastColumn="0" w:noHBand="0" w:noVBand="0" w:val="0020"/>
        <w:jc w:val="start"/>
      </w:tblPr>
      <w:tblGrid>
        <w:gridCol w:w="3852"/>
        <w:gridCol w:w="3852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Pasal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Cs/>
                <w:b/>
              </w:rPr>
              <w:t xml:space="preserve">Substansi Kritis bagi Praktik</w:t>
            </w:r>
            <w:r>
              <w:rPr>
                <w:bCs/>
                <w:b/>
              </w:rPr>
              <w:t xml:space="preserve"> </w:t>
            </w:r>
            <w:r>
              <w:rPr>
                <w:bCs/>
                <w:b/>
              </w:rPr>
              <w:t xml:space="preserve">Obginsos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Pasal 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Hak setiap orang atas kesehatan</w:t>
            </w:r>
            <w:r>
              <w:t xml:space="preserve"> </w:t>
            </w:r>
            <w:r>
              <w:t xml:space="preserve">yang komprehensif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Pasal 36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Tenaga medis wajib memberikan</w:t>
            </w:r>
            <w:r>
              <w:t xml:space="preserve"> </w:t>
            </w:r>
            <w:r>
              <w:t xml:space="preserve">pelayanan sesuai standar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Pasal 37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Hak pasien atas informasi,</w:t>
            </w:r>
            <w:r>
              <w:t xml:space="preserve"> </w:t>
            </w:r>
            <w:r>
              <w:t xml:space="preserve">persetujuan, kerahasiaan, dan</w:t>
            </w:r>
            <w:r>
              <w:t xml:space="preserve"> </w:t>
            </w:r>
            <w:r>
              <w:t xml:space="preserve">pendapat kedua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Pasal 40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Kewajiban rekam medis yang lengkap</w:t>
            </w:r>
            <w:r>
              <w:t xml:space="preserve"> </w:t>
            </w:r>
            <w:r>
              <w:t xml:space="preserve">dan akurat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Pasal 57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Negara wajib menyediakan pelayanan</w:t>
            </w:r>
            <w:r>
              <w:t xml:space="preserve"> </w:t>
            </w:r>
            <w:r>
              <w:t xml:space="preserve">kesehatan ibu yang komprehensif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Pasal 60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Kondisi legal terminasi kehamilan</w:t>
            </w:r>
            <w:r>
              <w:t xml:space="preserve"> </w:t>
            </w:r>
            <w:r>
              <w:t xml:space="preserve">(kedaruratan medis dan perkosaan)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Pasal 72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Regulasi pelayanan teknologi</w:t>
            </w:r>
            <w:r>
              <w:t xml:space="preserve"> </w:t>
            </w:r>
            <w:r>
              <w:t xml:space="preserve">reproduksi berbantu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Pasal 197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Rekam medis bersifat rahasia dengan</w:t>
            </w:r>
            <w:r>
              <w:t xml:space="preserve"> </w:t>
            </w:r>
            <w:r>
              <w:t xml:space="preserve">pengecualian yang diatur ketat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Pasal 201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Sanksi pidana untuk aborsi di luar</w:t>
            </w:r>
            <w:r>
              <w:t xml:space="preserve"> </w:t>
            </w:r>
            <w:r>
              <w:t xml:space="preserve">ketentuan (penjara maks. 10 tahun)</w:t>
            </w:r>
          </w:p>
        </w:tc>
      </w:tr>
    </w:tbl>
    <w:bookmarkEnd w:id="96"/>
    <w:bookmarkStart w:id="97" w:name="Xf8bd315e46312f462e42a4fabe3516c9eecb925"/>
    <w:p>
      <w:pPr>
        <w:pStyle w:val="Heading3"/>
      </w:pPr>
      <w:r>
        <w:t xml:space="preserve">B.2 Standar Kompetensi Subspesialis Obginsos (KOGI)</w:t>
      </w:r>
    </w:p>
    <w:p>
      <w:pPr>
        <w:pStyle w:val="BlockText"/>
      </w:pPr>
      <w:r>
        <w:t xml:space="preserve">▸ Area 1 — Kompetensi Klinis: Penanganan kasus obstetri-ginekologi</w:t>
      </w:r>
      <w:r>
        <w:t xml:space="preserve"> </w:t>
      </w:r>
      <w:r>
        <w:t xml:space="preserve">dengan determinan sosial kompleks</w:t>
      </w:r>
    </w:p>
    <w:p>
      <w:pPr>
        <w:pStyle w:val="BlockText"/>
      </w:pPr>
      <w:r>
        <w:t xml:space="preserve">▸ Area 2 — Epidemiologi dan Penelitian: Merancang dan</w:t>
      </w:r>
      <w:r>
        <w:t xml:space="preserve"> </w:t>
      </w:r>
      <w:r>
        <w:t xml:space="preserve">mempublikasikan penelitian kesehatan maternal</w:t>
      </w:r>
    </w:p>
    <w:p>
      <w:pPr>
        <w:pStyle w:val="BlockText"/>
      </w:pPr>
      <w:r>
        <w:t xml:space="preserve">▸ Area 3 — Hukum dan Etika: Kerangka hukum kesehatan reproduksi</w:t>
      </w:r>
      <w:r>
        <w:t xml:space="preserve"> </w:t>
      </w:r>
      <w:r>
        <w:t xml:space="preserve">dalam praktik sehari-hari</w:t>
      </w:r>
    </w:p>
    <w:p>
      <w:pPr>
        <w:pStyle w:val="BlockText"/>
      </w:pPr>
      <w:r>
        <w:t xml:space="preserve">▸ Area 4 — Kebijakan dan Program: Merancang, mengimplementasikan,</w:t>
      </w:r>
      <w:r>
        <w:t xml:space="preserve"> </w:t>
      </w:r>
      <w:r>
        <w:t xml:space="preserve">dan mengevaluasi program KIA</w:t>
      </w:r>
    </w:p>
    <w:p>
      <w:pPr>
        <w:pStyle w:val="BlockText"/>
      </w:pPr>
      <w:r>
        <w:t xml:space="preserve">▸ Area 5 — Teknologi Informasi: Kompetensi digital, telemedicine,</w:t>
      </w:r>
      <w:r>
        <w:t xml:space="preserve"> </w:t>
      </w:r>
      <w:r>
        <w:t xml:space="preserve">dan evaluasi AI medis</w:t>
      </w:r>
    </w:p>
    <w:p>
      <w:pPr>
        <w:pStyle w:val="BlockText"/>
      </w:pPr>
      <w:r>
        <w:t xml:space="preserve">▸ Area 6 — Komunikasi dan Advokasi: Advokasi kebijakan dan</w:t>
      </w:r>
      <w:r>
        <w:t xml:space="preserve"> </w:t>
      </w:r>
      <w:r>
        <w:t xml:space="preserve">komunikasi lintas pemangku kepentingan</w:t>
      </w:r>
    </w:p>
    <w:p>
      <w:pPr>
        <w:pStyle w:val="BlockText"/>
      </w:pPr>
      <w:r>
        <w:t xml:space="preserve">▸ Area 7 — Pendidikan: Mendidik tenaga kesehatan dan komunitas dalam</w:t>
      </w:r>
      <w:r>
        <w:t xml:space="preserve"> </w:t>
      </w:r>
      <w:r>
        <w:t xml:space="preserve">bidang Obginsos</w:t>
      </w:r>
    </w:p>
    <w:p>
      <w:pPr>
        <w:pStyle w:val="BlockText"/>
      </w:pPr>
      <w:r>
        <w:t xml:space="preserve">▸ Area 8 — Kepemimpinan: Memimpin tim multidisiplin dan manajemen</w:t>
      </w:r>
      <w:r>
        <w:t xml:space="preserve"> </w:t>
      </w:r>
      <w:r>
        <w:t xml:space="preserve">unit layanan maternal</w:t>
      </w:r>
    </w:p>
    <w:bookmarkEnd w:id="97"/>
    <w:bookmarkEnd w:id="98"/>
    <w:bookmarkStart w:id="104" w:name="lampiran-c-referensi-utama-per-bab"/>
    <w:p>
      <w:pPr>
        <w:pStyle w:val="Heading2"/>
      </w:pPr>
      <w:r>
        <w:t xml:space="preserve">Lampiran C — Referensi Utama per Bab</w:t>
      </w:r>
    </w:p>
    <w:bookmarkStart w:id="99" w:name="bagian-i-landasan-ilmu"/>
    <w:p>
      <w:pPr>
        <w:pStyle w:val="Heading3"/>
      </w:pPr>
      <w:r>
        <w:t xml:space="preserve">Bagian I: Landasan Ilmu</w:t>
      </w:r>
    </w:p>
    <w:p>
      <w:pPr>
        <w:pStyle w:val="BlockText"/>
      </w:pPr>
      <w:r>
        <w:t xml:space="preserve">▸ WHO. (2019). Trends in Maternal Mortality: 2000–2017. Geneva: World</w:t>
      </w:r>
      <w:r>
        <w:t xml:space="preserve"> </w:t>
      </w:r>
      <w:r>
        <w:t xml:space="preserve">Health Organization.</w:t>
      </w:r>
    </w:p>
    <w:p>
      <w:pPr>
        <w:pStyle w:val="BlockText"/>
      </w:pPr>
      <w:r>
        <w:t xml:space="preserve">▸ Thaddeus S, Maine D. (1994). Too far to walk: Maternal mortality in</w:t>
      </w:r>
      <w:r>
        <w:t xml:space="preserve"> </w:t>
      </w:r>
      <w:r>
        <w:t xml:space="preserve">context. Social Science &amp; Medicine, 38(8):1091-1110.</w:t>
      </w:r>
    </w:p>
    <w:p>
      <w:pPr>
        <w:pStyle w:val="BlockText"/>
      </w:pPr>
      <w:r>
        <w:t xml:space="preserve">▸ Dahlgren G, Whitehead M. (1991). Policies and strategies to promote</w:t>
      </w:r>
      <w:r>
        <w:t xml:space="preserve"> </w:t>
      </w:r>
      <w:r>
        <w:t xml:space="preserve">social equity in health. Stockholm: Institute for Future Studies.</w:t>
      </w:r>
    </w:p>
    <w:p>
      <w:pPr>
        <w:pStyle w:val="BlockText"/>
      </w:pPr>
      <w:r>
        <w:t xml:space="preserve">▸ BPS. (2022). Survei Demografi dan Kesehatan Indonesia 2022. Jakarta:</w:t>
      </w:r>
      <w:r>
        <w:t xml:space="preserve"> </w:t>
      </w:r>
      <w:r>
        <w:t xml:space="preserve">BPS.</w:t>
      </w:r>
    </w:p>
    <w:bookmarkEnd w:id="99"/>
    <w:bookmarkStart w:id="100" w:name="bagian-ii-kebijakan-dan-hukum"/>
    <w:p>
      <w:pPr>
        <w:pStyle w:val="Heading3"/>
      </w:pPr>
      <w:r>
        <w:t xml:space="preserve">Bagian II: Kebijakan dan Hukum</w:t>
      </w:r>
    </w:p>
    <w:p>
      <w:pPr>
        <w:pStyle w:val="BlockText"/>
      </w:pPr>
      <w:r>
        <w:t xml:space="preserve">▸ Kemenkes RI. (2021). Permenkes No. 21/2021 tentang Pelayanan</w:t>
      </w:r>
      <w:r>
        <w:t xml:space="preserve"> </w:t>
      </w:r>
      <w:r>
        <w:t xml:space="preserve">Kesehatan Masa Kehamilan, Persalinan, dan Nifas.</w:t>
      </w:r>
    </w:p>
    <w:p>
      <w:pPr>
        <w:pStyle w:val="BlockText"/>
      </w:pPr>
      <w:r>
        <w:t xml:space="preserve">▸ Beauchamp TL, Childress JF. (2019). Principles of Biomedical Ethics</w:t>
      </w:r>
      <w:r>
        <w:t xml:space="preserve"> </w:t>
      </w:r>
      <w:r>
        <w:t xml:space="preserve">(8th ed.). Oxford University Press.</w:t>
      </w:r>
    </w:p>
    <w:p>
      <w:pPr>
        <w:pStyle w:val="BlockText"/>
      </w:pPr>
      <w:r>
        <w:t xml:space="preserve">▸ UNFPA. (1994). Programme of Action of the International Conference</w:t>
      </w:r>
      <w:r>
        <w:t xml:space="preserve"> </w:t>
      </w:r>
      <w:r>
        <w:t xml:space="preserve">on Population and Development.</w:t>
      </w:r>
    </w:p>
    <w:bookmarkEnd w:id="100"/>
    <w:bookmarkStart w:id="101" w:name="bagian-iii-pelayanan-maternal"/>
    <w:p>
      <w:pPr>
        <w:pStyle w:val="Heading3"/>
      </w:pPr>
      <w:r>
        <w:t xml:space="preserve">Bagian III: Pelayanan Maternal</w:t>
      </w:r>
    </w:p>
    <w:p>
      <w:pPr>
        <w:pStyle w:val="BlockText"/>
      </w:pPr>
      <w:r>
        <w:t xml:space="preserve">▸ WHO. (2016). WHO Recommendations on Antenatal Care for a Positive</w:t>
      </w:r>
      <w:r>
        <w:t xml:space="preserve"> </w:t>
      </w:r>
      <w:r>
        <w:t xml:space="preserve">Pregnancy Experience. Geneva: WHO.</w:t>
      </w:r>
    </w:p>
    <w:p>
      <w:pPr>
        <w:pStyle w:val="BlockText"/>
      </w:pPr>
      <w:r>
        <w:t xml:space="preserve">▸ Abalos E, et al. (2014). Global and regional estimates of</w:t>
      </w:r>
      <w:r>
        <w:t xml:space="preserve"> </w:t>
      </w:r>
      <w:r>
        <w:t xml:space="preserve">preeclampsia and eclampsia: a systematic review. Eur J Obstet Gynecol</w:t>
      </w:r>
      <w:r>
        <w:t xml:space="preserve"> </w:t>
      </w:r>
      <w:r>
        <w:t xml:space="preserve">Reprod Biol. 170(1):1-7.</w:t>
      </w:r>
    </w:p>
    <w:p>
      <w:pPr>
        <w:pStyle w:val="BlockText"/>
      </w:pPr>
      <w:r>
        <w:t xml:space="preserve">▸ Collaborators WOMAN Trial. (2017). Effect of early tranexamic acid</w:t>
      </w:r>
      <w:r>
        <w:t xml:space="preserve"> </w:t>
      </w:r>
      <w:r>
        <w:t xml:space="preserve">on death and thromboembolic events in patients with acute severe</w:t>
      </w:r>
      <w:r>
        <w:t xml:space="preserve"> </w:t>
      </w:r>
      <w:r>
        <w:t xml:space="preserve">haemorrhage. Lancet, 389(10084):2105-2116.</w:t>
      </w:r>
    </w:p>
    <w:bookmarkEnd w:id="101"/>
    <w:bookmarkStart w:id="102" w:name="bagian-iv-v-ginekologi-dan-teknologi"/>
    <w:p>
      <w:pPr>
        <w:pStyle w:val="Heading3"/>
      </w:pPr>
      <w:r>
        <w:t xml:space="preserve">Bagian IV-V: Ginekologi dan Teknologi</w:t>
      </w:r>
    </w:p>
    <w:p>
      <w:pPr>
        <w:pStyle w:val="BlockText"/>
      </w:pPr>
      <w:r>
        <w:t xml:space="preserve">▸ GLOBOCAN 2020. (2020). Global Cancer Statistics. Geneva: WHO/IARC.</w:t>
      </w:r>
    </w:p>
    <w:p>
      <w:pPr>
        <w:pStyle w:val="BlockText"/>
      </w:pPr>
      <w:r>
        <w:t xml:space="preserve">▸ Topol EJ. (2019). High-performance medicine: the convergence of</w:t>
      </w:r>
      <w:r>
        <w:t xml:space="preserve"> </w:t>
      </w:r>
      <w:r>
        <w:t xml:space="preserve">human and artificial intelligence. Nature Medicine, 25(1):44-56.</w:t>
      </w:r>
    </w:p>
    <w:p>
      <w:pPr>
        <w:pStyle w:val="BlockText"/>
      </w:pPr>
      <w:r>
        <w:t xml:space="preserve">▸ WHO. (2019). WHO Guideline: Recommendations on Digital Interventions</w:t>
      </w:r>
      <w:r>
        <w:t xml:space="preserve"> </w:t>
      </w:r>
      <w:r>
        <w:t xml:space="preserve">for Health System Strengthening.</w:t>
      </w:r>
    </w:p>
    <w:bookmarkEnd w:id="102"/>
    <w:bookmarkStart w:id="103" w:name="bagian-vi-ix-program-manajemen-kasus"/>
    <w:p>
      <w:pPr>
        <w:pStyle w:val="Heading3"/>
      </w:pPr>
      <w:r>
        <w:t xml:space="preserve">Bagian VI-IX: Program, Manajemen, Kasus</w:t>
      </w:r>
    </w:p>
    <w:p>
      <w:pPr>
        <w:pStyle w:val="BlockText"/>
      </w:pPr>
      <w:r>
        <w:t xml:space="preserve">▸ United Nations. (2015). Transforming Our World: The 2030 Agenda for</w:t>
      </w:r>
      <w:r>
        <w:t xml:space="preserve"> </w:t>
      </w:r>
      <w:r>
        <w:t xml:space="preserve">Sustainable Development. New York: UN.</w:t>
      </w:r>
    </w:p>
    <w:p>
      <w:pPr>
        <w:pStyle w:val="BlockText"/>
      </w:pPr>
      <w:r>
        <w:t xml:space="preserve">▸ Haynes AB, et al. (2009). A Surgical Safety Checklist to Reduce</w:t>
      </w:r>
      <w:r>
        <w:t xml:space="preserve"> </w:t>
      </w:r>
      <w:r>
        <w:t xml:space="preserve">Morbidity and Mortality. NEJM, 360:491-499.</w:t>
      </w:r>
    </w:p>
    <w:p>
      <w:pPr>
        <w:pStyle w:val="BlockText"/>
      </w:pPr>
      <w:r>
        <w:t xml:space="preserve">▸ García-Moreno C, et al. (2015). The health-systems response to</w:t>
      </w:r>
      <w:r>
        <w:t xml:space="preserve"> </w:t>
      </w:r>
      <w:r>
        <w:t xml:space="preserve">violence against women. Lancet, 385(9977):1567-1579.</w:t>
      </w:r>
    </w:p>
    <w:bookmarkEnd w:id="103"/>
    <w:bookmarkEnd w:id="104"/>
    <w:bookmarkStart w:id="106" w:name="lampiran-d-tentang-penulis"/>
    <w:p>
      <w:pPr>
        <w:pStyle w:val="Heading2"/>
      </w:pPr>
      <w:r>
        <w:t xml:space="preserve">Lampiran D — Tentang Penulis</w:t>
      </w:r>
    </w:p>
    <w:p>
      <w:pPr>
        <w:pStyle w:val="FirstParagraph"/>
      </w:pPr>
      <w:r>
        <w:rPr>
          <w:bCs/>
          <w:b/>
        </w:rPr>
        <w:t xml:space="preserve">Dr.dr. Budi Siswanto, Sp.OG., Subsp.Obginsos., SH., S.Kom.</w:t>
      </w:r>
    </w:p>
    <w:p>
      <w:pPr>
        <w:pStyle w:val="BodyText"/>
      </w:pPr>
      <w:r>
        <w:t xml:space="preserve">Dr.dr. Budi Siswanto adalah dokter subspesialis Obstetri Ginekologi</w:t>
      </w:r>
      <w:r>
        <w:t xml:space="preserve"> </w:t>
      </w:r>
      <w:r>
        <w:t xml:space="preserve">Sosial yang memadukan kedalaman klinis obstetri-ginekologi dengan</w:t>
      </w:r>
      <w:r>
        <w:t xml:space="preserve"> </w:t>
      </w:r>
      <w:r>
        <w:t xml:space="preserve">perspektif hukum (SH) dan teknologi informasi (S.Kom.) dalam satu visi</w:t>
      </w:r>
      <w:r>
        <w:t xml:space="preserve"> </w:t>
      </w:r>
      <w:r>
        <w:t xml:space="preserve">terintegrasi tentang kesehatan maternal Indonesia. Profil multidisiplin</w:t>
      </w:r>
      <w:r>
        <w:t xml:space="preserve"> </w:t>
      </w:r>
      <w:r>
        <w:t xml:space="preserve">ini bukan akumulasi gelar semata — ia adalah cerminan dari keyakinan</w:t>
      </w:r>
      <w:r>
        <w:t xml:space="preserve"> </w:t>
      </w:r>
      <w:r>
        <w:t xml:space="preserve">mendalam bahwa tantangan kesehatan maternal Indonesia tidak dapat</w:t>
      </w:r>
      <w:r>
        <w:t xml:space="preserve"> </w:t>
      </w:r>
      <w:r>
        <w:t xml:space="preserve">diselesaikan dari dalam ruang operasi saja, melainkan membutuhkan</w:t>
      </w:r>
      <w:r>
        <w:t xml:space="preserve"> </w:t>
      </w:r>
      <w:r>
        <w:t xml:space="preserve">pendekatan yang menembus batas-batas disiplin tradisional.</w:t>
      </w:r>
    </w:p>
    <w:bookmarkStart w:id="105" w:name="X038026b6c41b846d24b10ed3a8912906be63342"/>
    <w:p>
      <w:pPr>
        <w:pStyle w:val="Heading3"/>
      </w:pPr>
      <w:r>
        <w:t xml:space="preserve">Referensi — BAB 3 — Studi Kasus Klinis dan Analisis Sistem</w:t>
      </w:r>
    </w:p>
    <w:p>
      <w:pPr>
        <w:numPr>
          <w:ilvl w:val="0"/>
          <w:numId w:val="1003"/>
        </w:numPr>
      </w:pPr>
      <w:r>
        <w:t xml:space="preserve">Thaddeus S, Maine D. (1994). Too far to walk: Maternal mortality in</w:t>
      </w:r>
      <w:r>
        <w:t xml:space="preserve"> </w:t>
      </w:r>
      <w:r>
        <w:t xml:space="preserve">context. Social Science &amp; Medicine, 38(8):1091–1110.</w:t>
      </w:r>
      <w:r>
        <w:t xml:space="preserve"> </w:t>
      </w:r>
      <w:r>
        <w:t xml:space="preserve">https://doi.org/10.1016/0277-9536(94)90226-7</w:t>
      </w:r>
    </w:p>
    <w:p>
      <w:pPr>
        <w:numPr>
          <w:ilvl w:val="0"/>
          <w:numId w:val="1003"/>
        </w:numPr>
      </w:pPr>
      <w:r>
        <w:t xml:space="preserve">García-Moreno C, et al. (2015). The health-systems response to</w:t>
      </w:r>
      <w:r>
        <w:t xml:space="preserve"> </w:t>
      </w:r>
      <w:r>
        <w:t xml:space="preserve">violence against women. Lancet, 385(9977):1567–1579.</w:t>
      </w:r>
      <w:r>
        <w:t xml:space="preserve"> </w:t>
      </w:r>
      <w:r>
        <w:t xml:space="preserve">https://doi.org/10.1016/S0140-6736(14)61837-7</w:t>
      </w:r>
    </w:p>
    <w:p>
      <w:pPr>
        <w:numPr>
          <w:ilvl w:val="0"/>
          <w:numId w:val="1003"/>
        </w:numPr>
      </w:pPr>
      <w:r>
        <w:t xml:space="preserve">World Health Organization. (2009). Monitoring Emergency Obstetric</w:t>
      </w:r>
      <w:r>
        <w:t xml:space="preserve"> </w:t>
      </w:r>
      <w:r>
        <w:t xml:space="preserve">Care: A Handbook. Geneva: WHO.</w:t>
      </w:r>
      <w:r>
        <w:t xml:space="preserve"> </w:t>
      </w:r>
      <w:r>
        <w:t xml:space="preserve">https://apps.who.int/iris/handle/10665/44121</w:t>
      </w:r>
    </w:p>
    <w:p>
      <w:pPr>
        <w:numPr>
          <w:ilvl w:val="0"/>
          <w:numId w:val="1003"/>
        </w:numPr>
      </w:pPr>
      <w:r>
        <w:t xml:space="preserve">Combi C, Pozzani G, Pozzi G. (2016). Telemedicine for developing</w:t>
      </w:r>
      <w:r>
        <w:t xml:space="preserve"> </w:t>
      </w:r>
      <w:r>
        <w:t xml:space="preserve">countries. Applied Clinical Informatics, 7(4):1025–1050.</w:t>
      </w:r>
      <w:r>
        <w:t xml:space="preserve"> </w:t>
      </w:r>
      <w:r>
        <w:t xml:space="preserve">https://doi.org/10.4338/ACI-2016-06-R-0089</w:t>
      </w:r>
    </w:p>
    <w:p>
      <w:pPr>
        <w:numPr>
          <w:ilvl w:val="0"/>
          <w:numId w:val="1003"/>
        </w:numPr>
      </w:pPr>
      <w:r>
        <w:t xml:space="preserve">Kementerian Kesehatan RI. (2016). Petunjuk Teknis Audit Maternal</w:t>
      </w:r>
      <w:r>
        <w:t xml:space="preserve"> </w:t>
      </w:r>
      <w:r>
        <w:t xml:space="preserve">Perinatal. Jakarta: Ditjen Yankes Kemenkes RI.</w:t>
      </w:r>
      <w:r>
        <w:t xml:space="preserve"> </w:t>
      </w:r>
      <w:r>
        <w:t xml:space="preserve">https://www.kemkes.go.id</w:t>
      </w:r>
    </w:p>
    <w:p>
      <w:pPr>
        <w:numPr>
          <w:ilvl w:val="0"/>
          <w:numId w:val="1003"/>
        </w:numPr>
      </w:pPr>
      <w:r>
        <w:t xml:space="preserve">Okonofua F, Ogu R, Agholor K, et al. (2017). Qualitative assessment</w:t>
      </w:r>
      <w:r>
        <w:t xml:space="preserve"> </w:t>
      </w:r>
      <w:r>
        <w:t xml:space="preserve">of women's satisfaction with maternal health care in referral</w:t>
      </w:r>
      <w:r>
        <w:t xml:space="preserve"> </w:t>
      </w:r>
      <w:r>
        <w:t xml:space="preserve">hospitals in Nigeria. Reproductive Health, 14(1):44.</w:t>
      </w:r>
      <w:r>
        <w:t xml:space="preserve"> </w:t>
      </w:r>
      <w:r>
        <w:t xml:space="preserve">https://doi.org/10.1186/s12978-017-0305-4</w:t>
      </w:r>
    </w:p>
    <w:p>
      <w:pPr>
        <w:numPr>
          <w:ilvl w:val="0"/>
          <w:numId w:val="1003"/>
        </w:numPr>
      </w:pPr>
      <w:r>
        <w:t xml:space="preserve">FIGO. (2015). Prevention and Management of Postpartum Hemorrhage.</w:t>
      </w:r>
      <w:r>
        <w:t xml:space="preserve"> </w:t>
      </w:r>
      <w:r>
        <w:t xml:space="preserve">FIGO Save the Mothers Initiative. London: FIGO.</w:t>
      </w:r>
      <w:r>
        <w:t xml:space="preserve"> </w:t>
      </w:r>
      <w:r>
        <w:t xml:space="preserve">https://www.figo.org/saveourmothers</w:t>
      </w:r>
    </w:p>
    <w:p>
      <w:pPr>
        <w:numPr>
          <w:ilvl w:val="0"/>
          <w:numId w:val="1003"/>
        </w:numPr>
      </w:pPr>
      <w:r>
        <w:t xml:space="preserve">Main EK, Goffman D, Scavone BM, et al. (2015). National Partnership</w:t>
      </w:r>
      <w:r>
        <w:t xml:space="preserve"> </w:t>
      </w:r>
      <w:r>
        <w:t xml:space="preserve">for Maternal Safety: consensus bundle on obstetric hemorrhage.</w:t>
      </w:r>
      <w:r>
        <w:t xml:space="preserve"> </w:t>
      </w:r>
      <w:r>
        <w:t xml:space="preserve">Obstetrics &amp; Gynecology, 126(1):155–162.</w:t>
      </w:r>
      <w:r>
        <w:t xml:space="preserve"> </w:t>
      </w:r>
      <w:r>
        <w:t xml:space="preserve">https://doi.org/10.1097/AOG.0000000000000869</w:t>
      </w:r>
    </w:p>
    <w:p>
      <w:pPr>
        <w:numPr>
          <w:ilvl w:val="0"/>
          <w:numId w:val="1003"/>
        </w:numPr>
      </w:pPr>
      <w:r>
        <w:t xml:space="preserve">Sung H, Ferlay J, Siegel RL, et al. (2021). Global Cancer Statistics</w:t>
      </w:r>
      <w:r>
        <w:t xml:space="preserve"> </w:t>
      </w:r>
      <w:r>
        <w:t xml:space="preserve">2020: GLOBOCAN. CA: A Cancer Journal for Clinicians, 71(3):209–249.</w:t>
      </w:r>
      <w:r>
        <w:t xml:space="preserve"> </w:t>
      </w:r>
      <w:r>
        <w:t xml:space="preserve">https://doi.org/10.3322/caac.21660</w:t>
      </w:r>
    </w:p>
    <w:p>
      <w:pPr>
        <w:numPr>
          <w:ilvl w:val="0"/>
          <w:numId w:val="1003"/>
        </w:numPr>
      </w:pPr>
      <w:r>
        <w:t xml:space="preserve">Firth P, Bhutia A, Bloom G, et al. (2020). A reflective practice</w:t>
      </w:r>
      <w:r>
        <w:t xml:space="preserve"> </w:t>
      </w:r>
      <w:r>
        <w:t xml:space="preserve">toolkit for case-based learning in global health. Global Health</w:t>
      </w:r>
      <w:r>
        <w:t xml:space="preserve"> </w:t>
      </w:r>
      <w:r>
        <w:t xml:space="preserve">Research and Policy, 5(1):52.</w:t>
      </w:r>
      <w:r>
        <w:t xml:space="preserve"> </w:t>
      </w:r>
      <w:r>
        <w:t xml:space="preserve">https://doi.org/10.1186/s41256-020-00181-6</w:t>
      </w:r>
    </w:p>
    <w:p>
      <w:pPr>
        <w:pStyle w:val="FirstParagraph"/>
      </w:pPr>
      <w:r>
        <w:t xml:space="preserve">Textbook ini lahir dari keprihatinan yang terdokumentasi: selama</w:t>
      </w:r>
      <w:r>
        <w:t xml:space="preserve"> </w:t>
      </w:r>
      <w:r>
        <w:t xml:space="preserve">bertahun-tahun program pendidikan subspesialis Obginsos berjalan tanpa</w:t>
      </w:r>
      <w:r>
        <w:t xml:space="preserve"> </w:t>
      </w:r>
      <w:r>
        <w:t xml:space="preserve">referensi baku yang komprehensif dalam konteks Indonesia. Setiap halaman</w:t>
      </w:r>
      <w:r>
        <w:t xml:space="preserve"> </w:t>
      </w:r>
      <w:r>
        <w:t xml:space="preserve">dalam textbook ini adalah upaya untuk mengisi kekosongan tersebut —</w:t>
      </w:r>
      <w:r>
        <w:t xml:space="preserve"> </w:t>
      </w:r>
      <w:r>
        <w:t xml:space="preserve">dengan konten yang berbasis bukti, kontekstual, dan relevan untuk dokter</w:t>
      </w:r>
      <w:r>
        <w:t xml:space="preserve"> </w:t>
      </w:r>
      <w:r>
        <w:t xml:space="preserve">yang akan berkarya di Sabang maupun Merauke.</w:t>
      </w:r>
    </w:p>
    <w:bookmarkEnd w:id="105"/>
    <w:bookmarkEnd w:id="106"/>
    <w:bookmarkEnd w:id="107"/>
    <w:sectPr w:rsidR="00363485">
      <w:pgSz w:h="16838" w:w="11906"/>
      <w:pgMar w:bottom="720" w:footer="708" w:gutter="0" w:header="708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EC17" w14:textId="0C766428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Landasan Ilmu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6F7DC" w14:textId="34ED0808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Kebijakan dan Hukum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38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DD035" w14:textId="0459E8E9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Pelayanan Maternal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61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03527" w14:textId="0848E97F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Ginekologi Sosial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102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9521" w14:textId="70325F1C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Teknologi dan Inovasi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137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C3CC" w14:textId="5777BB4B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Program dan Penelitian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160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BF4F3" w14:textId="27590B7B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Manajemen dan Kepemimpinan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195</w:t>
    </w:r>
    <w: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0965C" w14:textId="1E1A425B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Isu Khusus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213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A4D61" w14:textId="70705A46" w:rsidR="00363485" w:rsidRDefault="00000000">
    <w:pPr>
      <w:pBdr>
        <w:top w:val="single" w:sz="4" w:space="4" w:color="C49A2A"/>
      </w:pBdr>
      <w:spacing w:before="100"/>
      <w:jc w:val="center"/>
    </w:pPr>
    <w:r>
      <w:rPr>
        <w:color w:val="5A5A5A"/>
        <w:sz w:val="17"/>
        <w:szCs w:val="17"/>
      </w:rPr>
      <w:t xml:space="preserve">Dr.dr. Budi Siswanto, Sp.OG., Subsp.Obginsos., SH., S.Kom.  ·  Panduan dan Lampiran  ·  hal. </w:t>
    </w:r>
    <w:r>
      <w:fldChar w:fldCharType="begin"/>
    </w:r>
    <w:r>
      <w:instrText>PAGE</w:instrText>
    </w:r>
    <w:r>
      <w:fldChar w:fldCharType="separate"/>
    </w:r>
    <w:r w:rsidR="00BF5579">
      <w:rPr>
        <w:noProof/>
      </w:rPr>
      <w:t>226</w:t>
    </w:r>
    <w: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AF47D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I — Landasan Ilmu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96156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II — Kebijakan dan Hukum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3BD03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III — Pelayanan Maternal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F69B3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IV — Ginekologi Sosial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A9D54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V — Teknologi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F0C2A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VI — Program dan Penelitian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468B4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VII — Manajemen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27E89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VIII — Isu Khusus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DCC99" w14:textId="77777777" w:rsidR="00363485" w:rsidRDefault="00000000">
    <w:pPr>
      <w:pBdr>
        <w:bottom w:val="single" w:sz="4" w:space="4" w:color="C49A2A"/>
      </w:pBdr>
      <w:spacing w:after="100"/>
      <w:jc w:val="right"/>
    </w:pPr>
    <w:r>
      <w:rPr>
        <w:i/>
        <w:iCs/>
        <w:color w:val="5A5A5A"/>
        <w:sz w:val="18"/>
        <w:szCs w:val="18"/>
      </w:rPr>
      <w:t>OBGINSOS · Bagian IX — Panduan Praktis</w:t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2F273C"/>
    <w:multiLevelType w:val="hybridMultilevel"/>
    <w:tmpl w:val="C2D84FBE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015B243F"/>
    <w:multiLevelType w:val="hybridMultilevel"/>
    <w:tmpl w:val="98D48A16"/>
    <w:lvl w:ilvl="0" w:tplc="0409000F">
      <w:start w:val="1"/>
      <w:numFmt w:val="decimal"/>
      <w:lvlText w:val="%1."/>
      <w:lvlJc w:val="left"/>
      <w:pPr>
        <w:ind w:hanging="360" w:left="360"/>
      </w:p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2">
    <w:nsid w:val="03A45C84"/>
    <w:multiLevelType w:val="hybridMultilevel"/>
    <w:tmpl w:val="F0B6174C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">
    <w:nsid w:val="0BFC6649"/>
    <w:multiLevelType w:val="hybridMultilevel"/>
    <w:tmpl w:val="ABA09EEC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">
    <w:nsid w:val="0E003993"/>
    <w:multiLevelType w:val="hybridMultilevel"/>
    <w:tmpl w:val="02E205F8"/>
    <w:lvl w:ilvl="0" w:tplc="0409000F">
      <w:start w:val="1"/>
      <w:numFmt w:val="decimal"/>
      <w:lvlText w:val="%1."/>
      <w:lvlJc w:val="left"/>
      <w:pPr>
        <w:ind w:hanging="360" w:left="360"/>
      </w:p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5">
    <w:nsid w:val="0F864A45"/>
    <w:multiLevelType w:val="hybridMultilevel"/>
    <w:tmpl w:val="FBBE3156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6">
    <w:nsid w:val="11680437"/>
    <w:multiLevelType w:val="hybridMultilevel"/>
    <w:tmpl w:val="F26CDACC"/>
    <w:lvl w:ilvl="0" w:tplc="84985688">
      <w:start w:val="1"/>
      <w:numFmt w:val="decimal"/>
      <w:lvlText w:val="%1."/>
      <w:lvlJc w:val="left"/>
      <w:pPr>
        <w:ind w:hanging="360" w:left="360"/>
      </w:pPr>
      <w:rPr>
        <w:rFonts w:hint="default"/>
        <w:b/>
        <w:color w:val="1B2A4A"/>
        <w:sz w:val="20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7">
    <w:nsid w:val="138B6A42"/>
    <w:multiLevelType w:val="hybridMultilevel"/>
    <w:tmpl w:val="619C1448"/>
    <w:lvl w:ilvl="0" w:tplc="0409000F">
      <w:start w:val="1"/>
      <w:numFmt w:val="decimal"/>
      <w:lvlText w:val="%1."/>
      <w:lvlJc w:val="left"/>
      <w:pPr>
        <w:ind w:hanging="360" w:left="360"/>
      </w:p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8">
    <w:nsid w:val="13AB4100"/>
    <w:multiLevelType w:val="hybridMultilevel"/>
    <w:tmpl w:val="A09CE796"/>
    <w:lvl w:ilvl="0" w:tplc="6F6AB69A">
      <w:start w:val="1"/>
      <w:numFmt w:val="decimal"/>
      <w:lvlText w:val="%1."/>
      <w:lvlJc w:val="left"/>
      <w:pPr>
        <w:ind w:hanging="360" w:left="360"/>
      </w:pPr>
      <w:rPr>
        <w:rFonts w:hint="default"/>
        <w:b/>
        <w:color w:val="1B2A4A"/>
        <w:sz w:val="20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9">
    <w:nsid w:val="1B820384"/>
    <w:multiLevelType w:val="hybridMultilevel"/>
    <w:tmpl w:val="13F87FC4"/>
    <w:lvl w:ilvl="0" w:tplc="AA3C372C">
      <w:start w:val="1"/>
      <w:numFmt w:val="decimal"/>
      <w:lvlText w:val="%1."/>
      <w:lvlJc w:val="left"/>
      <w:pPr>
        <w:ind w:hanging="360" w:left="360"/>
      </w:pPr>
      <w:rPr>
        <w:rFonts w:hint="default"/>
        <w:b/>
        <w:color w:val="1B2A4A"/>
        <w:sz w:val="20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10">
    <w:nsid w:val="1DE922E0"/>
    <w:multiLevelType w:val="hybridMultilevel"/>
    <w:tmpl w:val="2DC0986E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1">
    <w:nsid w:val="1E252231"/>
    <w:multiLevelType w:val="hybridMultilevel"/>
    <w:tmpl w:val="E512AA82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2">
    <w:nsid w:val="20C43962"/>
    <w:multiLevelType w:val="hybridMultilevel"/>
    <w:tmpl w:val="570CEE92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3">
    <w:nsid w:val="260C607E"/>
    <w:multiLevelType w:val="hybridMultilevel"/>
    <w:tmpl w:val="FA0E83E4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4">
    <w:nsid w:val="290A2B40"/>
    <w:multiLevelType w:val="hybridMultilevel"/>
    <w:tmpl w:val="04E404F4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5">
    <w:nsid w:val="2C016BE3"/>
    <w:multiLevelType w:val="hybridMultilevel"/>
    <w:tmpl w:val="40682CF0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303E72E4"/>
    <w:multiLevelType w:val="hybridMultilevel"/>
    <w:tmpl w:val="EB6E8434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7">
    <w:nsid w:val="3C606F3D"/>
    <w:multiLevelType w:val="hybridMultilevel"/>
    <w:tmpl w:val="4D6CBDFE"/>
    <w:lvl w:ilvl="0" w:tplc="BB960558">
      <w:start w:val="1"/>
      <w:numFmt w:val="decimal"/>
      <w:lvlText w:val="%1."/>
      <w:lvlJc w:val="left"/>
      <w:pPr>
        <w:ind w:hanging="360" w:left="360"/>
      </w:pPr>
      <w:rPr>
        <w:rFonts w:hint="default"/>
        <w:b/>
        <w:color w:val="1B2A4A"/>
        <w:sz w:val="20"/>
      </w:r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18">
    <w:nsid w:val="434C0F70"/>
    <w:multiLevelType w:val="hybridMultilevel"/>
    <w:tmpl w:val="C57262E8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9">
    <w:nsid w:val="49BF6314"/>
    <w:multiLevelType w:val="hybridMultilevel"/>
    <w:tmpl w:val="6B922562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0">
    <w:nsid w:val="4C982175"/>
    <w:multiLevelType w:val="hybridMultilevel"/>
    <w:tmpl w:val="7646E03E"/>
    <w:lvl w:ilvl="0" w:tplc="0409000F">
      <w:start w:val="1"/>
      <w:numFmt w:val="decimal"/>
      <w:lvlText w:val="%1."/>
      <w:lvlJc w:val="left"/>
      <w:pPr>
        <w:ind w:hanging="360" w:left="360"/>
      </w:p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21">
    <w:nsid w:val="4F5F260B"/>
    <w:multiLevelType w:val="hybridMultilevel"/>
    <w:tmpl w:val="719CE584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2">
    <w:nsid w:val="55F73141"/>
    <w:multiLevelType w:val="hybridMultilevel"/>
    <w:tmpl w:val="9DA2E7D4"/>
    <w:lvl w:ilvl="0" w:tplc="6352B27E">
      <w:start w:val="1"/>
      <w:numFmt w:val="bullet"/>
      <w:lvlText w:val="●"/>
      <w:lvlJc w:val="left"/>
      <w:pPr>
        <w:ind w:hanging="360" w:left="720"/>
      </w:pPr>
    </w:lvl>
    <w:lvl w:ilvl="1" w:tplc="2924B3B2">
      <w:start w:val="1"/>
      <w:numFmt w:val="bullet"/>
      <w:lvlText w:val="○"/>
      <w:lvlJc w:val="left"/>
      <w:pPr>
        <w:ind w:hanging="360" w:left="1440"/>
      </w:pPr>
    </w:lvl>
    <w:lvl w:ilvl="2" w:tplc="2CBA4308">
      <w:start w:val="1"/>
      <w:numFmt w:val="bullet"/>
      <w:lvlText w:val="■"/>
      <w:lvlJc w:val="left"/>
      <w:pPr>
        <w:ind w:hanging="360" w:left="2160"/>
      </w:pPr>
    </w:lvl>
    <w:lvl w:ilvl="3" w:tplc="DC821AA0">
      <w:start w:val="1"/>
      <w:numFmt w:val="bullet"/>
      <w:lvlText w:val="●"/>
      <w:lvlJc w:val="left"/>
      <w:pPr>
        <w:ind w:hanging="360" w:left="2880"/>
      </w:pPr>
    </w:lvl>
    <w:lvl w:ilvl="4" w:tplc="C7AE07FA">
      <w:start w:val="1"/>
      <w:numFmt w:val="bullet"/>
      <w:lvlText w:val="○"/>
      <w:lvlJc w:val="left"/>
      <w:pPr>
        <w:ind w:hanging="360" w:left="3600"/>
      </w:pPr>
    </w:lvl>
    <w:lvl w:ilvl="5" w:tplc="51F483A4">
      <w:start w:val="1"/>
      <w:numFmt w:val="bullet"/>
      <w:lvlText w:val="■"/>
      <w:lvlJc w:val="left"/>
      <w:pPr>
        <w:ind w:hanging="360" w:left="4320"/>
      </w:pPr>
    </w:lvl>
    <w:lvl w:ilvl="6" w:tplc="C4548642">
      <w:start w:val="1"/>
      <w:numFmt w:val="bullet"/>
      <w:lvlText w:val="●"/>
      <w:lvlJc w:val="left"/>
      <w:pPr>
        <w:ind w:hanging="360" w:left="5040"/>
      </w:pPr>
    </w:lvl>
    <w:lvl w:ilvl="7" w:tplc="046606B8">
      <w:start w:val="1"/>
      <w:numFmt w:val="bullet"/>
      <w:lvlText w:val="●"/>
      <w:lvlJc w:val="left"/>
      <w:pPr>
        <w:ind w:hanging="360" w:left="5760"/>
      </w:pPr>
    </w:lvl>
    <w:lvl w:ilvl="8" w:tplc="31784DA2">
      <w:start w:val="1"/>
      <w:numFmt w:val="bullet"/>
      <w:lvlText w:val="●"/>
      <w:lvlJc w:val="left"/>
      <w:pPr>
        <w:ind w:hanging="360" w:left="6480"/>
      </w:pPr>
    </w:lvl>
  </w:abstractNum>
  <w:abstractNum w15:restartNumberingAfterBreak="0" w:abstractNumId="23">
    <w:nsid w:val="5DD50CFA"/>
    <w:multiLevelType w:val="hybridMultilevel"/>
    <w:tmpl w:val="23EEB102"/>
    <w:lvl w:ilvl="0" w:tplc="0409000F">
      <w:start w:val="1"/>
      <w:numFmt w:val="decimal"/>
      <w:lvlText w:val="%1."/>
      <w:lvlJc w:val="left"/>
      <w:pPr>
        <w:ind w:hanging="360" w:left="360"/>
      </w:p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24">
    <w:nsid w:val="5FF20F69"/>
    <w:multiLevelType w:val="hybridMultilevel"/>
    <w:tmpl w:val="B2306500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5">
    <w:nsid w:val="71AC1B99"/>
    <w:multiLevelType w:val="hybridMultilevel"/>
    <w:tmpl w:val="D6B0DBCA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6">
    <w:nsid w:val="7298771C"/>
    <w:multiLevelType w:val="hybridMultilevel"/>
    <w:tmpl w:val="C41CF278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FFFFFFFF">
      <w:start w:val="1"/>
      <w:numFmt w:val="lowerLetter"/>
      <w:lvlText w:val="%2."/>
      <w:lvlJc w:val="left"/>
      <w:pPr>
        <w:ind w:hanging="360" w:left="1080"/>
      </w:pPr>
    </w:lvl>
    <w:lvl w:ilvl="2" w:tentative="1" w:tplc="FFFFFFFF">
      <w:start w:val="1"/>
      <w:numFmt w:val="lowerRoman"/>
      <w:lvlText w:val="%3."/>
      <w:lvlJc w:val="right"/>
      <w:pPr>
        <w:ind w:hanging="180" w:left="1800"/>
      </w:pPr>
    </w:lvl>
    <w:lvl w:ilvl="3" w:tentative="1" w:tplc="FFFFFFFF">
      <w:start w:val="1"/>
      <w:numFmt w:val="decimal"/>
      <w:lvlText w:val="%4."/>
      <w:lvlJc w:val="left"/>
      <w:pPr>
        <w:ind w:hanging="360" w:left="2520"/>
      </w:pPr>
    </w:lvl>
    <w:lvl w:ilvl="4" w:tentative="1" w:tplc="FFFFFFFF">
      <w:start w:val="1"/>
      <w:numFmt w:val="lowerLetter"/>
      <w:lvlText w:val="%5."/>
      <w:lvlJc w:val="left"/>
      <w:pPr>
        <w:ind w:hanging="360" w:left="3240"/>
      </w:pPr>
    </w:lvl>
    <w:lvl w:ilvl="5" w:tentative="1" w:tplc="FFFFFFFF">
      <w:start w:val="1"/>
      <w:numFmt w:val="lowerRoman"/>
      <w:lvlText w:val="%6."/>
      <w:lvlJc w:val="right"/>
      <w:pPr>
        <w:ind w:hanging="180" w:left="3960"/>
      </w:pPr>
    </w:lvl>
    <w:lvl w:ilvl="6" w:tentative="1" w:tplc="FFFFFFFF">
      <w:start w:val="1"/>
      <w:numFmt w:val="decimal"/>
      <w:lvlText w:val="%7."/>
      <w:lvlJc w:val="left"/>
      <w:pPr>
        <w:ind w:hanging="360" w:left="4680"/>
      </w:pPr>
    </w:lvl>
    <w:lvl w:ilvl="7" w:tentative="1" w:tplc="FFFFFFFF">
      <w:start w:val="1"/>
      <w:numFmt w:val="lowerLetter"/>
      <w:lvlText w:val="%8."/>
      <w:lvlJc w:val="left"/>
      <w:pPr>
        <w:ind w:hanging="360" w:left="5400"/>
      </w:pPr>
    </w:lvl>
    <w:lvl w:ilvl="8" w:tentative="1" w:tplc="FFFFFFFF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27">
    <w:nsid w:val="77C62FFE"/>
    <w:multiLevelType w:val="hybridMultilevel"/>
    <w:tmpl w:val="A03CCBDA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8">
    <w:nsid w:val="7BD4398D"/>
    <w:multiLevelType w:val="hybridMultilevel"/>
    <w:tmpl w:val="B29ECD0E"/>
    <w:lvl w:ilvl="0" w:tplc="0409000F">
      <w:start w:val="1"/>
      <w:numFmt w:val="decimal"/>
      <w:lvlText w:val="%1."/>
      <w:lvlJc w:val="left"/>
      <w:pPr>
        <w:ind w:hanging="360" w:left="360"/>
      </w:pPr>
    </w:lvl>
    <w:lvl w:ilvl="1" w:tentative="1" w:tplc="04090019">
      <w:start w:val="1"/>
      <w:numFmt w:val="lowerLetter"/>
      <w:lvlText w:val="%2."/>
      <w:lvlJc w:val="left"/>
      <w:pPr>
        <w:ind w:hanging="360" w:left="1080"/>
      </w:pPr>
    </w:lvl>
    <w:lvl w:ilvl="2" w:tentative="1" w:tplc="0409001B">
      <w:start w:val="1"/>
      <w:numFmt w:val="lowerRoman"/>
      <w:lvlText w:val="%3."/>
      <w:lvlJc w:val="right"/>
      <w:pPr>
        <w:ind w:hanging="180" w:left="1800"/>
      </w:pPr>
    </w:lvl>
    <w:lvl w:ilvl="3" w:tentative="1" w:tplc="0409000F">
      <w:start w:val="1"/>
      <w:numFmt w:val="decimal"/>
      <w:lvlText w:val="%4."/>
      <w:lvlJc w:val="left"/>
      <w:pPr>
        <w:ind w:hanging="360" w:left="2520"/>
      </w:pPr>
    </w:lvl>
    <w:lvl w:ilvl="4" w:tentative="1" w:tplc="04090019">
      <w:start w:val="1"/>
      <w:numFmt w:val="lowerLetter"/>
      <w:lvlText w:val="%5."/>
      <w:lvlJc w:val="left"/>
      <w:pPr>
        <w:ind w:hanging="360" w:left="3240"/>
      </w:pPr>
    </w:lvl>
    <w:lvl w:ilvl="5" w:tentative="1" w:tplc="0409001B">
      <w:start w:val="1"/>
      <w:numFmt w:val="lowerRoman"/>
      <w:lvlText w:val="%6."/>
      <w:lvlJc w:val="right"/>
      <w:pPr>
        <w:ind w:hanging="180" w:left="3960"/>
      </w:pPr>
    </w:lvl>
    <w:lvl w:ilvl="6" w:tentative="1" w:tplc="0409000F">
      <w:start w:val="1"/>
      <w:numFmt w:val="decimal"/>
      <w:lvlText w:val="%7."/>
      <w:lvlJc w:val="left"/>
      <w:pPr>
        <w:ind w:hanging="360" w:left="4680"/>
      </w:pPr>
    </w:lvl>
    <w:lvl w:ilvl="7" w:tentative="1" w:tplc="04090019">
      <w:start w:val="1"/>
      <w:numFmt w:val="lowerLetter"/>
      <w:lvlText w:val="%8."/>
      <w:lvlJc w:val="left"/>
      <w:pPr>
        <w:ind w:hanging="360" w:left="5400"/>
      </w:pPr>
    </w:lvl>
    <w:lvl w:ilvl="8" w:tentative="1" w:tplc="0409001B">
      <w:start w:val="1"/>
      <w:numFmt w:val="lowerRoman"/>
      <w:lvlText w:val="%9."/>
      <w:lvlJc w:val="right"/>
      <w:pPr>
        <w:ind w:hanging="180" w:left="6120"/>
      </w:pPr>
    </w:lvl>
  </w:abstractNum>
  <w:abstractNum w15:restartNumberingAfterBreak="0" w:abstractNumId="29">
    <w:nsid w:val="7D255572"/>
    <w:multiLevelType w:val="hybridMultilevel"/>
    <w:tmpl w:val="7DD83C5E"/>
    <w:lvl w:ilvl="0" w:tplc="3E886BB0">
      <w:start w:val="1"/>
      <w:numFmt w:val="decimal"/>
      <w:lvlText w:val="%1."/>
      <w:lvlJc w:val="left"/>
      <w:pPr>
        <w:ind w:hanging="360" w:left="36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16cid:durableId="643655053" w:numId="1">
    <w:abstractNumId w:val="22"/>
    <w:lvlOverride w:ilvl="0">
      <w:startOverride w:val="1"/>
    </w:lvlOverride>
  </w:num>
  <w:num w16cid:durableId="2094081594" w:numId="2">
    <w:abstractNumId w:val="8"/>
  </w:num>
  <w:num w16cid:durableId="1359313846" w:numId="3">
    <w:abstractNumId w:val="9"/>
  </w:num>
  <w:num w16cid:durableId="759914060" w:numId="4">
    <w:abstractNumId w:val="17"/>
  </w:num>
  <w:num w16cid:durableId="1906140384" w:numId="5">
    <w:abstractNumId w:val="6"/>
  </w:num>
  <w:num w16cid:durableId="490874195" w:numId="6">
    <w:abstractNumId w:val="4"/>
  </w:num>
  <w:num w16cid:durableId="1854612371" w:numId="7">
    <w:abstractNumId w:val="1"/>
  </w:num>
  <w:num w16cid:durableId="845946660" w:numId="8">
    <w:abstractNumId w:val="20"/>
  </w:num>
  <w:num w16cid:durableId="1417284952" w:numId="9">
    <w:abstractNumId w:val="7"/>
  </w:num>
  <w:num w16cid:durableId="2105148631" w:numId="10">
    <w:abstractNumId w:val="23"/>
  </w:num>
  <w:num w16cid:durableId="1430657154" w:numId="11">
    <w:abstractNumId w:val="28"/>
  </w:num>
  <w:num w16cid:durableId="789473462" w:numId="12">
    <w:abstractNumId w:val="26"/>
  </w:num>
  <w:num w16cid:durableId="579100228" w:numId="13">
    <w:abstractNumId w:val="10"/>
  </w:num>
  <w:num w16cid:durableId="595595180" w:numId="14">
    <w:abstractNumId w:val="27"/>
  </w:num>
  <w:num w16cid:durableId="1941907202" w:numId="15">
    <w:abstractNumId w:val="13"/>
  </w:num>
  <w:num w16cid:durableId="1791045455" w:numId="16">
    <w:abstractNumId w:val="14"/>
  </w:num>
  <w:num w16cid:durableId="2018997771" w:numId="17">
    <w:abstractNumId w:val="21"/>
  </w:num>
  <w:num w16cid:durableId="1129857816" w:numId="18">
    <w:abstractNumId w:val="16"/>
  </w:num>
  <w:num w16cid:durableId="2022662760" w:numId="19">
    <w:abstractNumId w:val="25"/>
  </w:num>
  <w:num w16cid:durableId="672924845" w:numId="20">
    <w:abstractNumId w:val="0"/>
  </w:num>
  <w:num w16cid:durableId="1748990264" w:numId="21">
    <w:abstractNumId w:val="15"/>
  </w:num>
  <w:num w16cid:durableId="2007702710" w:numId="22">
    <w:abstractNumId w:val="12"/>
  </w:num>
  <w:num w16cid:durableId="879242336" w:numId="23">
    <w:abstractNumId w:val="3"/>
  </w:num>
  <w:num w16cid:durableId="1365788256" w:numId="24">
    <w:abstractNumId w:val="5"/>
  </w:num>
  <w:num w16cid:durableId="1012562575" w:numId="25">
    <w:abstractNumId w:val="2"/>
  </w:num>
  <w:num w16cid:durableId="2083677744" w:numId="26">
    <w:abstractNumId w:val="29"/>
  </w:num>
  <w:num w16cid:durableId="2011907521" w:numId="27">
    <w:abstractNumId w:val="19"/>
  </w:num>
  <w:num w16cid:durableId="1735349425" w:numId="28">
    <w:abstractNumId w:val="24"/>
  </w:num>
  <w:num w16cid:durableId="1596596677" w:numId="29">
    <w:abstractNumId w:val="18"/>
  </w:num>
  <w:num w16cid:durableId="1320572807" w:numId="30">
    <w:abstractNumId w:val="11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embedSystemFonts/>
  <w:proofState w:grammar="clean" w:spelling="clean"/>
  <w:stylePaneFormatFilter w:val="0004"/>
  <w:footnotePr>
    <w:footnote w:id="-1"/>
    <w:footnote w:id="0"/>
  </w:footnotePr>
  <w:doNotTrackMoves/>
  <w:drawingGridHorizontalSpacing w:val="360"/>
  <w:drawingGridVerticalSpacing w:val="360"/>
  <w:displayHorizontalDrawingGridEvery w:val="0"/>
  <w:displayVerticalDrawingGridEvery w:val="0"/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 w:val="en-US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cs="Palatino Linotype" w:eastAsia="Palatino Linotype" w:hAnsi="Palatino Linotype"/>
        <w:sz w:val="22"/>
        <w:szCs w:val="22"/>
        <w:lang w:bidi="ar-SA" w:eastAsia="en-US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uiPriority w:val="9"/>
    <w:qFormat/>
    <w:pPr>
      <w:pBdr>
        <w:bottom w:color="C49A2A" w:space="6" w:sz="6" w:val="single"/>
      </w:pBdr>
      <w:spacing w:after="240" w:before="480"/>
      <w:outlineLvl w:val="0"/>
    </w:pPr>
    <w:rPr>
      <w:b/>
      <w:bCs/>
      <w:color w:val="1B2A4A"/>
      <w:sz w:val="32"/>
      <w:szCs w:val="32"/>
    </w:rPr>
  </w:style>
  <w:style w:styleId="Heading2" w:type="paragraph">
    <w:name w:val="heading 2"/>
    <w:uiPriority w:val="9"/>
    <w:unhideWhenUsed/>
    <w:qFormat/>
    <w:pPr>
      <w:spacing w:after="180" w:before="360"/>
      <w:outlineLvl w:val="1"/>
    </w:pPr>
    <w:rPr>
      <w:b/>
      <w:bCs/>
      <w:color w:val="1B2A4A"/>
      <w:sz w:val="26"/>
      <w:szCs w:val="26"/>
    </w:rPr>
  </w:style>
  <w:style w:styleId="Heading3" w:type="paragraph">
    <w:name w:val="heading 3"/>
    <w:uiPriority w:val="9"/>
    <w:unhideWhenUsed/>
    <w:qFormat/>
    <w:pPr>
      <w:spacing w:after="140" w:before="280"/>
      <w:outlineLvl w:val="2"/>
    </w:pPr>
    <w:rPr>
      <w:b/>
      <w:bCs/>
      <w:color w:val="2E5082"/>
      <w:sz w:val="23"/>
      <w:szCs w:val="23"/>
    </w:rPr>
  </w:style>
  <w:style w:styleId="Heading4" w:type="paragraph">
    <w:name w:val="heading 4"/>
    <w:uiPriority w:val="9"/>
    <w:unhideWhenUsed/>
    <w:qFormat/>
    <w:pPr>
      <w:spacing w:after="100" w:before="200"/>
      <w:outlineLvl w:val="3"/>
    </w:pPr>
    <w:rPr>
      <w:b/>
      <w:bCs/>
      <w:color w:val="1A6B6B"/>
    </w:rPr>
  </w:style>
  <w:style w:styleId="Heading5" w:type="paragraph">
    <w:name w:val="heading 5"/>
    <w:uiPriority w:val="9"/>
    <w:semiHidden/>
    <w:unhideWhenUsed/>
    <w:qFormat/>
    <w:pPr>
      <w:outlineLvl w:val="4"/>
    </w:pPr>
    <w:rPr>
      <w:color w:val="2E74B5"/>
    </w:rPr>
  </w:style>
  <w:style w:styleId="Heading6" w:type="paragraph">
    <w:name w:val="heading 6"/>
    <w:uiPriority w:val="9"/>
    <w:semiHidden/>
    <w:unhideWhenUsed/>
    <w:qFormat/>
    <w:pPr>
      <w:outlineLvl w:val="5"/>
    </w:pPr>
    <w:rPr>
      <w:color w:val="1F4D78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Title" w:type="paragraph">
    <w:name w:val="Title"/>
    <w:uiPriority w:val="10"/>
    <w:qFormat/>
    <w:rPr>
      <w:sz w:val="56"/>
      <w:szCs w:val="56"/>
    </w:rPr>
  </w:style>
  <w:style w:customStyle="1" w:styleId="Strong1" w:type="paragraph">
    <w:name w:val="Strong1"/>
    <w:qFormat/>
    <w:rPr>
      <w:b/>
      <w:bCs/>
    </w:rPr>
  </w:style>
  <w:style w:styleId="ListParagraph" w:type="paragraph">
    <w:name w:val="List Paragraph"/>
    <w:qFormat/>
  </w:style>
  <w:style w:styleId="Hyperlink" w:type="character">
    <w:name w:val="Hyperlink"/>
    <w:uiPriority w:val="99"/>
    <w:unhideWhenUsed/>
    <w:rPr>
      <w:color w:val="0563C1"/>
      <w:u w:val="single"/>
    </w:rPr>
  </w:style>
  <w:style w:styleId="FootnoteReference" w:type="character">
    <w:name w:val="footnote reference"/>
    <w:uiPriority w:val="99"/>
    <w:semiHidden/>
    <w:unhideWhenUsed/>
    <w:rPr>
      <w:vertAlign w:val="superscript"/>
    </w:rPr>
  </w:style>
  <w:style w:styleId="FootnoteText" w:type="paragraph">
    <w:name w:val="footnote text"/>
    <w:link w:val="FootnoteTextChar"/>
    <w:uiPriority w:val="99"/>
    <w:semiHidden/>
    <w:unhideWhenUsed/>
    <w:rPr>
      <w:sz w:val="20"/>
      <w:szCs w:val="20"/>
    </w:rPr>
  </w:style>
  <w:style w:customStyle="1" w:styleId="FootnoteTextChar" w:type="character">
    <w:name w:val="Footnote Text Char"/>
    <w:link w:val="FootnoteText"/>
    <w:uiPriority w:val="99"/>
    <w:semiHidden/>
    <w:unhideWhenUsed/>
    <w:rPr>
      <w:sz w:val="20"/>
      <w:szCs w:val="20"/>
    </w:rPr>
  </w:style>
  <w:style w:styleId="EndnoteReference" w:type="character">
    <w:name w:val="endnote reference"/>
    <w:uiPriority w:val="99"/>
    <w:semiHidden/>
    <w:unhideWhenUsed/>
    <w:rPr>
      <w:vertAlign w:val="superscript"/>
    </w:rPr>
  </w:style>
  <w:style w:styleId="EndnoteText" w:type="paragraph">
    <w:name w:val="endnote text"/>
    <w:link w:val="EndnoteTextChar"/>
    <w:uiPriority w:val="99"/>
    <w:semiHidden/>
    <w:unhideWhenUsed/>
    <w:rPr>
      <w:sz w:val="20"/>
      <w:szCs w:val="20"/>
    </w:rPr>
  </w:style>
  <w:style w:customStyle="1" w:styleId="EndnoteTextChar" w:type="character">
    <w:name w:val="Endnote Text Char"/>
    <w:link w:val="EndnoteText"/>
    <w:uiPriority w:val="99"/>
    <w:semiHidden/>
    <w:unhideWhenUsed/>
    <w:rPr>
      <w:sz w:val="20"/>
      <w:szCs w:val="20"/>
    </w:rPr>
  </w:style>
  <w:style w:styleId="UnresolvedMention" w:type="character">
    <w:name w:val="Unresolved Mention"/>
    <w:basedOn w:val="DefaultParagraphFont"/>
    <w:uiPriority w:val="99"/>
    <w:semiHidden/>
    <w:unhideWhenUsed/>
    <w:rsid w:val="00B62205"/>
    <w:rPr>
      <w:color w:val="605E5C"/>
      <w:shd w:color="auto" w:fill="E1DFDD" w:val="clear"/>
    </w:rPr>
  </w:style>
  <w:style w:styleId="FollowedHyperlink" w:type="character">
    <w:name w:val="FollowedHyperlink"/>
    <w:basedOn w:val="DefaultParagraphFont"/>
    <w:uiPriority w:val="99"/>
    <w:semiHidden/>
    <w:unhideWhenUsed/>
    <w:rsid w:val="00B62205"/>
    <w:rPr>
      <w:color w:themeColor="followedHyperlink" w:val="954F72"/>
      <w:u w:val="single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7.xml" Type="http://schemas.openxmlformats.org/officeDocument/2006/relationships/header" /><Relationship Id="rId11" Target="header6.xml" Type="http://schemas.openxmlformats.org/officeDocument/2006/relationships/header" /><Relationship Id="rId12" Target="header2.xml" Type="http://schemas.openxmlformats.org/officeDocument/2006/relationships/header" /><Relationship Id="rId13" Target="header5.xml" Type="http://schemas.openxmlformats.org/officeDocument/2006/relationships/header" /><Relationship Id="rId14" Target="header9.xml" Type="http://schemas.openxmlformats.org/officeDocument/2006/relationships/header" /><Relationship Id="rId15" Target="header4.xml" Type="http://schemas.openxmlformats.org/officeDocument/2006/relationships/header" /><Relationship Id="rId16" Target="header8.xml" Type="http://schemas.openxmlformats.org/officeDocument/2006/relationships/header" /><Relationship Id="rId17" Target="header3.xml" Type="http://schemas.openxmlformats.org/officeDocument/2006/relationships/header" /><Relationship Id="rId18" Target="footer9.xml" Type="http://schemas.openxmlformats.org/officeDocument/2006/relationships/footer" /><Relationship Id="rId19" Target="footer4.xml" Type="http://schemas.openxmlformats.org/officeDocument/2006/relationships/footer" /><Relationship Id="rId20" Target="footer1.xml" Type="http://schemas.openxmlformats.org/officeDocument/2006/relationships/footer" /><Relationship Id="rId21" Target="footer3.xml" Type="http://schemas.openxmlformats.org/officeDocument/2006/relationships/footer" /><Relationship Id="rId22" Target="footer7.xml" Type="http://schemas.openxmlformats.org/officeDocument/2006/relationships/footer" /><Relationship Id="rId23" Target="footer2.xml" Type="http://schemas.openxmlformats.org/officeDocument/2006/relationships/footer" /><Relationship Id="rId24" Target="footer6.xml" Type="http://schemas.openxmlformats.org/officeDocument/2006/relationships/footer" /><Relationship Id="rId25" Target="footer5.xml" Type="http://schemas.openxmlformats.org/officeDocument/2006/relationships/footer" /><Relationship Id="rId26" Target="footer8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258</Pages>
  <Words>74752</Words>
  <Characters>426090</Characters>
  <Application>Microsoft Office Word</Application>
  <DocSecurity>0</DocSecurity>
  <Lines>3550</Lines>
  <Paragraphs>999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2026-07-10T22:53:27Z</dcterms:created>
  <dcterms:modified xsi:type="dcterms:W3CDTF">2026-07-10T22:53:27Z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