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header9.xml" ContentType="application/vnd.openxmlformats-officedocument.wordprocessingml.header+xml"/>
  <Override PartName="/word/header4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7.xml" ContentType="application/vnd.openxmlformats-officedocument.wordprocessingml.foot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8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PERPUSTAKAAN DIGITAL ABBA</w:t>
      </w:r>
    </w:p>
    <w:p>
      <w:pPr>
        <w:pStyle w:val="BodyText"/>
      </w:pPr>
      <w:r>
        <w:rPr>
          <w:iCs/>
          <w:i/>
        </w:rPr>
        <w:t xml:space="preserve">Seri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Dari Bangsal ke Beranda: Obstetri Ginekologi Sosial sebagai Ilmu Kedokteran Utuh</w:t>
      </w:r>
      <w:r>
        <w:rPr>
          <w:iCs/>
          <w:i/>
        </w:rPr>
        <w:t xml:space="preserve">”</w:t>
      </w:r>
    </w:p>
    <w:p>
      <w:pPr>
        <w:pStyle w:val="BodyText"/>
      </w:pPr>
      <w:r>
        <w:t xml:space="preserve">Buku Tambahan — Klaster Masyarakat</w:t>
      </w:r>
    </w:p>
    <w:p>
      <w:pPr>
        <w:pStyle w:val="BodyText"/>
      </w:pPr>
      <w:r>
        <w:rPr>
          <w:bCs/>
          <w:b/>
        </w:rPr>
        <w:t xml:space="preserve">Antenatal Care, Kebijakan, dan Promosi Kesehatan Berbasis Komunitas</w:t>
      </w:r>
    </w:p>
    <w:p>
      <w:pPr>
        <w:pStyle w:val="BodyText"/>
      </w:pPr>
      <w:r>
        <w:t xml:space="preserve">Dari Standar Global ke Implementasi di Seluruh Pelosok Indonesia</w:t>
      </w:r>
    </w:p>
    <w:p>
      <w:pPr>
        <w:pStyle w:val="BodyText"/>
      </w:pPr>
      <w:r>
        <w:rPr>
          <w:bCs/>
          <w:b/>
        </w:rPr>
        <w:t xml:space="preserve">Kode Buku: MS-6</w:t>
      </w:r>
    </w:p>
    <w:p>
      <w:pPr>
        <w:pStyle w:val="BodyText"/>
      </w:pPr>
      <w:r>
        <w:t xml:space="preserve">Buku Pelengkap — Melengkapi MS-1 hingga MS-5 (Semester 3–5)</w:t>
      </w:r>
    </w:p>
    <w:p>
      <w:pPr>
        <w:pStyle w:val="BodyText"/>
      </w:pPr>
      <w:r>
        <w:t xml:space="preserve">Program Pendidikan Dokter Subspesialis Obstetri Ginekologi Sosial (Obginsos)</w:t>
      </w:r>
    </w:p>
    <w:p>
      <w:pPr>
        <w:pStyle w:val="BodyText"/>
      </w:pPr>
      <w:r>
        <w:t xml:space="preserve">Disusun berdasarkan materi</w:t>
      </w:r>
      <w:r>
        <w:t xml:space="preserve"> </w:t>
      </w:r>
      <w:r>
        <w:rPr>
          <w:iCs/>
          <w:i/>
        </w:rPr>
        <w:t xml:space="preserve">Textbook Subspesialis Obstetri Ginekologi Sosial</w:t>
      </w:r>
      <w:r>
        <w:t xml:space="preserve"> </w:t>
      </w:r>
      <w:r>
        <w:t xml:space="preserve">(Himpunan Obstetri Ginekologi Sosial – Center Malang, 2026), disusun ulang dan disunting sebagai buku tersendiri dalam Klaster Masyarakat.</w:t>
      </w:r>
    </w:p>
    <w:p>
      <w:pPr>
        <w:pStyle w:val="BodyText"/>
      </w:pPr>
      <w:r>
        <w:t xml:space="preserve">Penyusun:</w:t>
      </w:r>
    </w:p>
    <w:p>
      <w:pPr>
        <w:pStyle w:val="BodyText"/>
      </w:pPr>
      <w:r>
        <w:rPr>
          <w:bCs/>
          <w:b/>
        </w:rPr>
        <w:t xml:space="preserve">Dr.dr. Budi Siswanto, Sp.OG., Subsp.Obginsos., SH., S.Kom. — Advokat</w:t>
      </w:r>
    </w:p>
    <w:p>
      <w:pPr>
        <w:pStyle w:val="BodyText"/>
      </w:pPr>
      <w:r>
        <w:t xml:space="preserve">Malang, Juli 2026</w:t>
      </w:r>
    </w:p>
    <w:bookmarkStart w:id="125" w:name="daftar-isi"/>
    <w:p>
      <w:pPr>
        <w:pStyle w:val="Heading1"/>
      </w:pPr>
      <w:r>
        <w:rPr>
          <w:bCs/>
          <w:b/>
        </w:rPr>
        <w:t xml:space="preserve">Daftar Isi</w:t>
      </w:r>
    </w:p>
    <w:p>
      <w:pPr>
        <w:pStyle w:val="FirstParagraph"/>
      </w:pPr>
      <w:r>
        <w:t xml:space="preserve">Bab 1 — Kebijakan dan Program Kesehatan Ibu Nasional</w:t>
      </w:r>
    </w:p>
    <w:p>
      <w:pPr>
        <w:pStyle w:val="BodyText"/>
      </w:pPr>
      <w:r>
        <w:t xml:space="preserve">Bab 2 — Antenatal Care: Standar, Skrining, dan Komunitas</w:t>
      </w:r>
    </w:p>
    <w:p>
      <w:pPr>
        <w:pStyle w:val="BodyText"/>
      </w:pPr>
      <w:r>
        <w:t xml:space="preserve">Bab 3 — Promosi Kesehatan dan Pemberdayaan Komunitas</w:t>
      </w:r>
    </w:p>
    <w:p>
      <w:pPr>
        <w:pStyle w:val="BodyText"/>
      </w:pPr>
      <w:r>
        <w:t xml:space="preserve">Bab 4 — Populasi Rentan dan Kesehatan Maternal</w:t>
      </w:r>
    </w:p>
    <w:p>
      <w:pPr>
        <w:pStyle w:val="BodyText"/>
      </w:pPr>
      <w:r>
        <w:t xml:space="preserve">Bab 5 — Perubahan Iklim dan Kesehatan Maternal</w:t>
      </w:r>
    </w:p>
    <w:p>
      <w:pPr>
        <w:pStyle w:val="BodyText"/>
      </w:pPr>
      <w:r>
        <w:t xml:space="preserve">Daftar Referensi</w:t>
      </w:r>
    </w:p>
    <w:p>
      <w:pPr>
        <w:pStyle w:val="BodyText"/>
      </w:pPr>
      <w:r>
        <w:rPr>
          <w:bCs/>
          <w:b/>
        </w:rPr>
        <w:t xml:space="preserve">BAB 1</w:t>
      </w:r>
    </w:p>
    <w:p>
      <w:pPr>
        <w:pStyle w:val="BodyText"/>
      </w:pPr>
      <w:r>
        <w:rPr>
          <w:bCs/>
          <w:b/>
        </w:rPr>
        <w:t xml:space="preserve">Kebijakan Kesehatan Reproduksi Nasional</w:t>
      </w:r>
    </w:p>
    <w:p>
      <w:pPr>
        <w:pStyle w:val="BodyText"/>
      </w:pPr>
      <w:r>
        <w:t xml:space="preserve"> </w:t>
      </w:r>
    </w:p>
    <w:p>
      <w:pPr>
        <w:pStyle w:val="BlockText"/>
      </w:pPr>
      <w:r>
        <w:rPr>
          <w:iCs/>
          <w:i/>
        </w:rPr>
        <w:t xml:space="preserve">Setiap tindakan klinis Anda terjadi dalam kerangka regulasi yang</w:t>
      </w:r>
      <w:r>
        <w:rPr>
          <w:iCs/>
          <w:i/>
        </w:rPr>
        <w:t xml:space="preserve"> </w:t>
      </w:r>
      <w:r>
        <w:rPr>
          <w:iCs/>
          <w:i/>
        </w:rPr>
        <w:t xml:space="preserve">kompleks. Mengetahui hukum bukan hanya untuk melindungi diri dari</w:t>
      </w:r>
      <w:r>
        <w:rPr>
          <w:iCs/>
          <w:i/>
        </w:rPr>
        <w:t xml:space="preserve"> </w:t>
      </w:r>
      <w:r>
        <w:rPr>
          <w:iCs/>
          <w:i/>
        </w:rPr>
        <w:t xml:space="preserve">tuntutan — melainkan untuk menjadi advokat yang efektif bagi hak-hak</w:t>
      </w:r>
      <w:r>
        <w:rPr>
          <w:iCs/>
          <w:i/>
        </w:rPr>
        <w:t xml:space="preserve"> </w:t>
      </w:r>
      <w:r>
        <w:rPr>
          <w:iCs/>
          <w:i/>
        </w:rPr>
        <w:t xml:space="preserve">pasien Anda dan bagi perubahan kebijakan yang lebih baik.</w:t>
      </w:r>
    </w:p>
    <w:p>
      <w:pPr>
        <w:pStyle w:val="FirstParagraph"/>
      </w:pPr>
      <w:r>
        <w:rPr>
          <w:bCs/>
          <w:b/>
        </w:rPr>
        <w:t xml:space="preserve">BAB 1</w:t>
      </w:r>
    </w:p>
    <w:p>
      <w:pPr>
        <w:pStyle w:val="BodyText"/>
      </w:pPr>
      <w:r>
        <w:rPr>
          <w:bCs/>
          <w:b/>
        </w:rPr>
        <w:t xml:space="preserve">KEBIJAKAN KESEHATAN REPRODUKSI NASIONAL</w:t>
      </w:r>
    </w:p>
    <w:p>
      <w:pPr>
        <w:pStyle w:val="BodyText"/>
      </w:pPr>
      <w:r>
        <w:rPr>
          <w:iCs/>
          <w:i/>
        </w:rPr>
        <w:t xml:space="preserve">Regulasi, program, dan kerangka hukum yang membentuk lanskap layanan</w:t>
      </w:r>
      <w:r>
        <w:rPr>
          <w:iCs/>
          <w:i/>
        </w:rPr>
        <w:t xml:space="preserve"> </w:t>
      </w:r>
      <w:r>
        <w:rPr>
          <w:iCs/>
          <w:i/>
        </w:rPr>
        <w:t xml:space="preserve">maternal Indonesia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🎯 TUJUAN PEMBELAJARAN</w:t>
            </w:r>
          </w:p>
        </w:tc>
      </w:tr>
      <w:tr>
        <w:tc>
          <w:tcPr/>
          <w:p>
            <w:pPr>
              <w:numPr>
                <w:ilvl w:val="0"/>
                <w:numId w:val="1001"/>
              </w:numPr>
              <w:pStyle w:val="Compact"/>
              <w:jc w:val="left"/>
            </w:pPr>
            <w:r>
              <w:t xml:space="preserve">Menjelaskan hierarki regulasi kesehatan reproduksi Indonesia dan</w:t>
            </w:r>
            <w:r>
              <w:t xml:space="preserve"> </w:t>
            </w:r>
            <w:r>
              <w:t xml:space="preserve">mengidentifikasi pasal-pasal kritis bagi praktik Obginsos</w:t>
            </w:r>
          </w:p>
        </w:tc>
      </w:tr>
      <w:tr>
        <w:tc>
          <w:tcPr/>
          <w:p>
            <w:pPr>
              <w:numPr>
                <w:ilvl w:val="0"/>
                <w:numId w:val="1002"/>
              </w:numPr>
              <w:pStyle w:val="Compact"/>
              <w:jc w:val="left"/>
            </w:pPr>
            <w:r>
              <w:t xml:space="preserve">Menganalisis program nasional KIA (GEMAS, P4K, Jampersal) dan</w:t>
            </w:r>
            <w:r>
              <w:t xml:space="preserve"> </w:t>
            </w:r>
            <w:r>
              <w:t xml:space="preserve">mengidentifikasi kesenjangan implementasi</w:t>
            </w:r>
          </w:p>
        </w:tc>
      </w:tr>
      <w:tr>
        <w:tc>
          <w:tcPr/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Mengevaluasi kebijakan KB dalam perspektif hak reproduksi dan</w:t>
            </w:r>
            <w:r>
              <w:t xml:space="preserve"> </w:t>
            </w:r>
            <w:r>
              <w:t xml:space="preserve">mengidentifikasi praktik yang melanggar hak</w:t>
            </w:r>
          </w:p>
        </w:tc>
      </w:tr>
      <w:tr>
        <w:tc>
          <w:tcPr/>
          <w:p>
            <w:pPr>
              <w:numPr>
                <w:ilvl w:val="0"/>
                <w:numId w:val="1004"/>
              </w:numPr>
              <w:pStyle w:val="Compact"/>
              <w:jc w:val="left"/>
            </w:pPr>
            <w:r>
              <w:t xml:space="preserve">Merancang strategi advokasi kebijakan berbasis bukti untuk</w:t>
            </w:r>
            <w:r>
              <w:t xml:space="preserve"> </w:t>
            </w:r>
            <w:r>
              <w:t xml:space="preserve">peningkatan kesehatan maternal</w:t>
            </w:r>
          </w:p>
        </w:tc>
      </w:tr>
      <w:tr>
        <w:tc>
          <w:tcPr/>
          <w:p>
            <w:pPr>
              <w:numPr>
                <w:ilvl w:val="0"/>
                <w:numId w:val="1005"/>
              </w:numPr>
              <w:pStyle w:val="Compact"/>
              <w:jc w:val="left"/>
            </w:pPr>
            <w:r>
              <w:t xml:space="preserve">Memahami mekanisme pembiayaan JKN untuk layanan maternal dan</w:t>
            </w:r>
            <w:r>
              <w:t xml:space="preserve"> </w:t>
            </w:r>
            <w:r>
              <w:t xml:space="preserve">implikasi klinisnya</w:t>
            </w:r>
          </w:p>
        </w:tc>
      </w:tr>
    </w:tbl>
    <w:bookmarkStart w:id="25" w:name="kerangka-hukum-kesehatan-reproduksi"/>
    <w:p>
      <w:pPr>
        <w:pStyle w:val="Heading2"/>
      </w:pPr>
      <w:r>
        <w:t xml:space="preserve">1.1 Kerangka Hukum Kesehatan Reproduksi</w:t>
      </w:r>
    </w:p>
    <w:p>
      <w:pPr>
        <w:pStyle w:val="FirstParagraph"/>
      </w:pPr>
      <w:r>
        <w:t xml:space="preserve">Seorang subspesialis Obginsos yang memahami kerangka hukum kesehatan</w:t>
      </w:r>
      <w:r>
        <w:t xml:space="preserve"> </w:t>
      </w:r>
      <w:r>
        <w:t xml:space="preserve">reproduksi memiliki keunggulan strategis yang signifikan: ia dapat</w:t>
      </w:r>
      <w:r>
        <w:t xml:space="preserve"> </w:t>
      </w:r>
      <w:r>
        <w:t xml:space="preserve">memastikan pasiennya mendapatkan hak-hak yang dijamin negara,</w:t>
      </w:r>
      <w:r>
        <w:t xml:space="preserve"> </w:t>
      </w:r>
      <w:r>
        <w:t xml:space="preserve">mengidentifikasi celah kebijakan yang perlu diperjuangkan, dan menjadi</w:t>
      </w:r>
      <w:r>
        <w:t xml:space="preserve"> </w:t>
      </w:r>
      <w:r>
        <w:t xml:space="preserve">narasumber yang kredibel dalam proses perumusan kebijakan. Pemahaman</w:t>
      </w:r>
      <w:r>
        <w:t xml:space="preserve"> </w:t>
      </w:r>
      <w:r>
        <w:t xml:space="preserve">hukum bukan beban akademik — ini adalah alat kerja yang sangat praktis</w:t>
      </w:r>
      <w:r>
        <w:t xml:space="preserve"> </w:t>
      </w:r>
      <w:r>
        <w:t xml:space="preserve">di era meningkatnya kesadaran hukum masyarakat dan meningkatnya tuntutan</w:t>
      </w:r>
      <w:r>
        <w:t xml:space="preserve"> </w:t>
      </w:r>
      <w:r>
        <w:t xml:space="preserve">hukum terhadap tenaga medis.</w:t>
      </w:r>
    </w:p>
    <w:p>
      <w:pPr>
        <w:pStyle w:val="BodyText"/>
      </w:pPr>
      <w:r>
        <w:t xml:space="preserve">Hierarki regulasi Indonesia mengikuti sistem hukum civil law dengan UUD</w:t>
      </w:r>
      <w:r>
        <w:t xml:space="preserve"> </w:t>
      </w:r>
      <w:r>
        <w:t xml:space="preserve">1945 sebagai norma tertinggi (grundnorm), diikuti oleh undang-undang,</w:t>
      </w:r>
      <w:r>
        <w:t xml:space="preserve"> </w:t>
      </w:r>
      <w:r>
        <w:t xml:space="preserve">peraturan pemerintah (PP), peraturan presiden (Perpres), dan terakhir</w:t>
      </w:r>
      <w:r>
        <w:t xml:space="preserve"> </w:t>
      </w:r>
      <w:r>
        <w:t xml:space="preserve">peraturan menteri (Permenkes) sebagai regulasi teknis operasional.</w:t>
      </w:r>
      <w:r>
        <w:t xml:space="preserve"> </w:t>
      </w:r>
      <w:r>
        <w:t xml:space="preserve">Memahami hierarki ini penting: ketika Permenkes bertentangan dengan</w:t>
      </w:r>
      <w:r>
        <w:t xml:space="preserve"> </w:t>
      </w:r>
      <w:r>
        <w:t xml:space="preserve">undang-undang, undang-undang yang berlaku; ketika praktik lokal</w:t>
      </w:r>
      <w:r>
        <w:t xml:space="preserve"> </w:t>
      </w:r>
      <w:r>
        <w:t xml:space="preserve">bertentangan dengan regulasi nasional, regulasi nasional yang</w:t>
      </w:r>
      <w:r>
        <w:t xml:space="preserve"> </w:t>
      </w:r>
      <w:r>
        <w:t xml:space="preserve">menentukan.</w:t>
      </w:r>
    </w:p>
    <w:bookmarkStart w:id="24" w:name="X1ad9e4ef467a83ca108e884957c85bab8d8228a"/>
    <w:p>
      <w:pPr>
        <w:pStyle w:val="Heading3"/>
      </w:pPr>
      <w:r>
        <w:t xml:space="preserve">1.1.1 Undang-Undang Terkait Kesehatan Reproduksi</w:t>
      </w:r>
    </w:p>
    <w:bookmarkStart w:id="20" w:name="Xe24a32748e531ae58c2177194bd043d4fde2f9f"/>
    <w:p>
      <w:pPr>
        <w:pStyle w:val="Heading4"/>
      </w:pPr>
      <w:r>
        <w:t xml:space="preserve">a. UU No. 17 Tahun 2023 tentang Kesehatan</w:t>
      </w:r>
    </w:p>
    <w:p>
      <w:pPr>
        <w:pStyle w:val="FirstParagraph"/>
      </w:pPr>
      <w:r>
        <w:t xml:space="preserve">UU Kesehatan 2023 adalah omnibus law terbesar dalam sejarah legislasi</w:t>
      </w:r>
      <w:r>
        <w:t xml:space="preserve"> </w:t>
      </w:r>
      <w:r>
        <w:t xml:space="preserve">kesehatan Indonesia — menggabungkan dan memperbarui setidaknya 11</w:t>
      </w:r>
      <w:r>
        <w:t xml:space="preserve"> </w:t>
      </w:r>
      <w:r>
        <w:t xml:space="preserve">undang-undang kesehatan sebelumnya dalam satu instrumen legislatif yang</w:t>
      </w:r>
      <w:r>
        <w:t xml:space="preserve"> </w:t>
      </w:r>
      <w:r>
        <w:t xml:space="preserve">komprehensif. Transformasi fundamental yang dibawa UU ini dalam konteks</w:t>
      </w:r>
      <w:r>
        <w:t xml:space="preserve"> </w:t>
      </w:r>
      <w:r>
        <w:t xml:space="preserve">Obginsos: pergeseran dari pendekatan berbasis izin (permission-based) ke</w:t>
      </w:r>
      <w:r>
        <w:t xml:space="preserve"> </w:t>
      </w:r>
      <w:r>
        <w:t xml:space="preserve">pendekatan berbasis standar (standard-based) dalam regulasi tenaga</w:t>
      </w:r>
      <w:r>
        <w:t xml:space="preserve"> </w:t>
      </w:r>
      <w:r>
        <w:t xml:space="preserve">kesehatan; penguatan hak pasien yang kini memiliki satu bab tersendiri;</w:t>
      </w:r>
      <w:r>
        <w:t xml:space="preserve"> </w:t>
      </w:r>
      <w:r>
        <w:t xml:space="preserve">dan — yang paling banyak diperdebatkan — klausul terminasi kehamilan</w:t>
      </w:r>
      <w:r>
        <w:t xml:space="preserve"> </w:t>
      </w:r>
      <w:r>
        <w:t xml:space="preserve">dalam Pasal 60 yang memperjelas kondisi legal sambil tetap</w:t>
      </w:r>
      <w:r>
        <w:t xml:space="preserve"> </w:t>
      </w:r>
      <w:r>
        <w:t xml:space="preserve">mempertahankan batasan yang ketat.</w:t>
      </w:r>
    </w:p>
    <w:p>
      <w:pPr>
        <w:pStyle w:val="BodyText"/>
      </w:pPr>
      <w:r>
        <w:t xml:space="preserve">Pasal-pasal kritis UU 17/2023 yang wajib dikuasai setiap dokter</w:t>
      </w:r>
      <w:r>
        <w:t xml:space="preserve"> </w:t>
      </w:r>
      <w:r>
        <w:t xml:space="preserve">Obginsos: Pasal 4-8 (hak dan kewajiban setiap orang dalam bidang</w:t>
      </w:r>
      <w:r>
        <w:t xml:space="preserve"> </w:t>
      </w:r>
      <w:r>
        <w:t xml:space="preserve">kesehatan), Pasal 27-35 (hak dan kewajiban tenaga medis), Pasal 36-50</w:t>
      </w:r>
      <w:r>
        <w:t xml:space="preserve"> </w:t>
      </w:r>
      <w:r>
        <w:t xml:space="preserve">(hak dan kewajiban pasien termasuk informed consent dan rekam medis),</w:t>
      </w:r>
      <w:r>
        <w:t xml:space="preserve"> </w:t>
      </w:r>
      <w:r>
        <w:t xml:space="preserve">Pasal 57-75 (pelayanan kesehatan ibu, anak, remaja, dan lansia), Pasal</w:t>
      </w:r>
      <w:r>
        <w:t xml:space="preserve"> </w:t>
      </w:r>
      <w:r>
        <w:t xml:space="preserve">196-209 (ketentuan pidana yang relevan bagi praktik klinis). Khususnya</w:t>
      </w:r>
      <w:r>
        <w:t xml:space="preserve"> </w:t>
      </w:r>
      <w:r>
        <w:t xml:space="preserve">Pasal 201 yang menetapkan pidana bagi tenaga medis yang melakukan aborsi</w:t>
      </w:r>
      <w:r>
        <w:t xml:space="preserve"> </w:t>
      </w:r>
      <w:r>
        <w:t xml:space="preserve">di luar ketentuan hukum dengan ancaman penjara maksimal 10 tahun.</w:t>
      </w:r>
    </w:p>
    <w:bookmarkEnd w:id="20"/>
    <w:bookmarkStart w:id="21" w:name="X556fd52c61a29685eae8a9f8e440d76583ab7cc"/>
    <w:p>
      <w:pPr>
        <w:pStyle w:val="Heading4"/>
      </w:pPr>
      <w:r>
        <w:t xml:space="preserve">b. UU No. 52 Tahun 2009 tentang Perkembangan Kependudukan</w:t>
      </w:r>
    </w:p>
    <w:p>
      <w:pPr>
        <w:pStyle w:val="FirstParagraph"/>
      </w:pPr>
      <w:r>
        <w:t xml:space="preserve">UU ini meletakkan dasar hukum bagi program KB nasional dalam kerangka</w:t>
      </w:r>
      <w:r>
        <w:t xml:space="preserve"> </w:t>
      </w:r>
      <w:r>
        <w:t xml:space="preserve">hak — bukan kewajiban atau target. Pasal 20 secara eksplisit</w:t>
      </w:r>
      <w:r>
        <w:t xml:space="preserve"> </w:t>
      </w:r>
      <w:r>
        <w:t xml:space="preserve">menyatakan bahwa pengaturan kehamilan merupakan hak setiap penduduk</w:t>
      </w:r>
      <w:r>
        <w:t xml:space="preserve"> </w:t>
      </w:r>
      <w:r>
        <w:t xml:space="preserve">berdasarkan prinsip sukarela, kebebasan, dan bertanggung jawab.</w:t>
      </w:r>
      <w:r>
        <w:t xml:space="preserve"> </w:t>
      </w:r>
      <w:r>
        <w:t xml:space="preserve">Implikasi praktis yang sering diabaikan: program KB yang menggunakan</w:t>
      </w:r>
      <w:r>
        <w:t xml:space="preserve"> </w:t>
      </w:r>
      <w:r>
        <w:t xml:space="preserve">tekanan, insentif yang bersifat koersif, atau target numerik yang</w:t>
      </w:r>
      <w:r>
        <w:t xml:space="preserve"> </w:t>
      </w:r>
      <w:r>
        <w:t xml:space="preserve">mengorbankan kualitas konseling adalah bertentangan dengan UU ini —</w:t>
      </w:r>
      <w:r>
        <w:t xml:space="preserve"> </w:t>
      </w:r>
      <w:r>
        <w:t xml:space="preserve">terlepas dari apakah praktik tersebut tersebar luas dan dianggap</w:t>
      </w:r>
      <w:r>
        <w:t xml:space="preserve"> </w:t>
      </w:r>
      <w:r>
        <w:t xml:space="preserve">'normal' dalam sistem.</w:t>
      </w:r>
    </w:p>
    <w:bookmarkEnd w:id="21"/>
    <w:bookmarkStart w:id="22" w:name="X0ff33c5a5f49234f62a1e8ee9278f3eb4924a1c"/>
    <w:p>
      <w:pPr>
        <w:pStyle w:val="Heading4"/>
      </w:pPr>
      <w:r>
        <w:t xml:space="preserve">c. UU No. 23 Tahun 2004 tentang Penghapusan KDRT</w:t>
      </w:r>
    </w:p>
    <w:p>
      <w:pPr>
        <w:pStyle w:val="FirstParagraph"/>
      </w:pPr>
      <w:r>
        <w:t xml:space="preserve">UU PKDRT memberikan definisi KDRT yang jauh lebih luas dari sekadar</w:t>
      </w:r>
      <w:r>
        <w:t xml:space="preserve"> </w:t>
      </w:r>
      <w:r>
        <w:t xml:space="preserve">kekerasan fisik yang kasat mata. Pasal 5 mengidentifikasi empat bentuk</w:t>
      </w:r>
      <w:r>
        <w:t xml:space="preserve"> </w:t>
      </w:r>
      <w:r>
        <w:t xml:space="preserve">KDRT: kekerasan fisik, psikis, seksual, dan penelantaran rumah tangga.</w:t>
      </w:r>
      <w:r>
        <w:t xml:space="preserve"> </w:t>
      </w:r>
      <w:r>
        <w:t xml:space="preserve">Kekerasan seksual dalam konteks pernikahan (marital rape) — yang dalam</w:t>
      </w:r>
      <w:r>
        <w:t xml:space="preserve"> </w:t>
      </w:r>
      <w:r>
        <w:t xml:space="preserve">banyak budaya Indonesia masih dianggap 'bukan kekerasan' — secara</w:t>
      </w:r>
      <w:r>
        <w:t xml:space="preserve"> </w:t>
      </w:r>
      <w:r>
        <w:t xml:space="preserve">eksplisit diakui sebagai kejahatan dalam UU ini. Bagi dokter Obginsos,</w:t>
      </w:r>
      <w:r>
        <w:t xml:space="preserve"> </w:t>
      </w:r>
      <w:r>
        <w:t xml:space="preserve">pemahaman UU PKDRT membuka 'mata klinisi' untuk mengenali</w:t>
      </w:r>
      <w:r>
        <w:t xml:space="preserve"> </w:t>
      </w:r>
      <w:r>
        <w:t xml:space="preserve">presentasi-presentasi yang mungkin terkait KDRT: kehamilan berulang yang</w:t>
      </w:r>
      <w:r>
        <w:t xml:space="preserve"> </w:t>
      </w:r>
      <w:r>
        <w:t xml:space="preserve">tidak diinginkan, IMS berulang, depresi perinatal yang tidak responsif</w:t>
      </w:r>
      <w:r>
        <w:t xml:space="preserve"> </w:t>
      </w:r>
      <w:r>
        <w:t xml:space="preserve">terhadap terapi, dan pola cedera fisik yang tidak konsisten dengan</w:t>
      </w:r>
      <w:r>
        <w:t xml:space="preserve"> </w:t>
      </w:r>
      <w:r>
        <w:t xml:space="preserve">penjelasan pasien.</w:t>
      </w:r>
    </w:p>
    <w:bookmarkEnd w:id="22"/>
    <w:bookmarkStart w:id="23" w:name="X44189e39b1853a477037ae686a9260d926bc9bb"/>
    <w:p>
      <w:pPr>
        <w:pStyle w:val="Heading4"/>
      </w:pPr>
      <w:r>
        <w:t xml:space="preserve">d. Peraturan Pemerintah dan Permenkes Turunan</w:t>
      </w:r>
    </w:p>
    <w:p>
      <w:pPr>
        <w:pStyle w:val="FirstParagraph"/>
      </w:pPr>
      <w:r>
        <w:t xml:space="preserve">PP No. 61 Tahun 2014 tentang Kesehatan Reproduksi adalah regulasi teknis</w:t>
      </w:r>
      <w:r>
        <w:t xml:space="preserve"> </w:t>
      </w:r>
      <w:r>
        <w:t xml:space="preserve">terpenting yang menerjemahkan ketentuan UU menjadi standar operasional.</w:t>
      </w:r>
      <w:r>
        <w:t xml:space="preserve"> </w:t>
      </w:r>
      <w:r>
        <w:t xml:space="preserve">PP ini mengatur: standar pelayanan kesehatan reproduksi pada setiap</w:t>
      </w:r>
      <w:r>
        <w:t xml:space="preserve"> </w:t>
      </w:r>
      <w:r>
        <w:t xml:space="preserve">tingkatan fasilitas, persyaratan kompetensi tenaga kesehatan yang</w:t>
      </w:r>
      <w:r>
        <w:t xml:space="preserve"> </w:t>
      </w:r>
      <w:r>
        <w:t xml:space="preserve">memberikan layanan reproduksi, dan mekanisme pengawasan kualitas</w:t>
      </w:r>
      <w:r>
        <w:t xml:space="preserve"> </w:t>
      </w:r>
      <w:r>
        <w:t xml:space="preserve">layanan. Permenkes No. 21 Tahun 2021 tentang Pelayanan KIA adalah</w:t>
      </w:r>
      <w:r>
        <w:t xml:space="preserve"> </w:t>
      </w:r>
      <w:r>
        <w:t xml:space="preserve">panduan teknis ANC 14 kontak yang menjadi standar nasional — termasuk</w:t>
      </w:r>
      <w:r>
        <w:t xml:space="preserve"> </w:t>
      </w:r>
      <w:r>
        <w:t xml:space="preserve">rincian konten pemeriksaan dan konseling di setiap kunjungan yang harus</w:t>
      </w:r>
      <w:r>
        <w:t xml:space="preserve"> </w:t>
      </w:r>
      <w:r>
        <w:t xml:space="preserve">dipahami sebagai minimum, bukan maksimum.</w:t>
      </w:r>
    </w:p>
    <w:bookmarkEnd w:id="23"/>
    <w:bookmarkEnd w:id="24"/>
    <w:bookmarkEnd w:id="25"/>
    <w:bookmarkStart w:id="31" w:name="program-nasional-kesehatan-ibu-dan-anak"/>
    <w:p>
      <w:pPr>
        <w:pStyle w:val="Heading2"/>
      </w:pPr>
      <w:r>
        <w:t xml:space="preserve">1.2 Program Nasional Kesehatan Ibu dan Anak</w:t>
      </w:r>
    </w:p>
    <w:p>
      <w:pPr>
        <w:pStyle w:val="FirstParagraph"/>
      </w:pPr>
      <w:r>
        <w:t xml:space="preserve">Program nasional KIA adalah ekspresi operasional dari komitmen negara</w:t>
      </w:r>
      <w:r>
        <w:t xml:space="preserve"> </w:t>
      </w:r>
      <w:r>
        <w:t xml:space="preserve">terhadap kesehatan ibu. Memahami program-program ini secara mendalam —</w:t>
      </w:r>
      <w:r>
        <w:t xml:space="preserve"> </w:t>
      </w:r>
      <w:r>
        <w:t xml:space="preserve">termasuk landasan kebijakan, mekanisme pendanaan, struktur implementasi,</w:t>
      </w:r>
      <w:r>
        <w:t xml:space="preserve"> </w:t>
      </w:r>
      <w:r>
        <w:t xml:space="preserve">target yang ditetapkan, dan tantangan di lapangan — memungkinkan</w:t>
      </w:r>
      <w:r>
        <w:t xml:space="preserve"> </w:t>
      </w:r>
      <w:r>
        <w:t xml:space="preserve">seorang subspesialis Obginsos untuk berkontribusi secara efektif sebagai</w:t>
      </w:r>
      <w:r>
        <w:t xml:space="preserve"> </w:t>
      </w:r>
      <w:r>
        <w:t xml:space="preserve">pembina teknis, evaluator program, dan advokat kebijakan yang memiliki</w:t>
      </w:r>
      <w:r>
        <w:t xml:space="preserve"> </w:t>
      </w:r>
      <w:r>
        <w:t xml:space="preserve">basis pengetahuan yang solid.</w:t>
      </w:r>
    </w:p>
    <w:bookmarkStart w:id="26" w:name="gemas-gerakan-ibu-hamil-sehat"/>
    <w:p>
      <w:pPr>
        <w:pStyle w:val="Heading3"/>
      </w:pPr>
      <w:r>
        <w:t xml:space="preserve">1.2.1 GEMAS — Gerakan Ibu Hamil Sehat</w:t>
      </w:r>
    </w:p>
    <w:p>
      <w:pPr>
        <w:pStyle w:val="FirstParagraph"/>
      </w:pPr>
      <w:r>
        <w:t xml:space="preserve">GEMAS adalah gerakan lintas sektor yang bertujuan mobilisasi seluruh</w:t>
      </w:r>
      <w:r>
        <w:t xml:space="preserve"> </w:t>
      </w:r>
      <w:r>
        <w:t xml:space="preserve">elemen masyarakat untuk memastikan setiap ibu hamil mendapatkan</w:t>
      </w:r>
      <w:r>
        <w:t xml:space="preserve"> </w:t>
      </w:r>
      <w:r>
        <w:t xml:space="preserve">pelayanan ANC yang berkualitas. Yang membedakan GEMAS dari program ANC</w:t>
      </w:r>
      <w:r>
        <w:t xml:space="preserve"> </w:t>
      </w:r>
      <w:r>
        <w:t xml:space="preserve">konvensional adalah pendekatan 'gerakan' yang melibatkan: Kementerian</w:t>
      </w:r>
      <w:r>
        <w:t xml:space="preserve"> </w:t>
      </w:r>
      <w:r>
        <w:t xml:space="preserve">Agama (untuk edukasi melalui pengajian dan ceramah di</w:t>
      </w:r>
      <w:r>
        <w:t xml:space="preserve"> </w:t>
      </w:r>
      <w:r>
        <w:t xml:space="preserve">masjid/gereja/pura), PKK (untuk pendampingan ibu hamil di tingkat</w:t>
      </w:r>
      <w:r>
        <w:t xml:space="preserve"> </w:t>
      </w:r>
      <w:r>
        <w:t xml:space="preserve">RT/RW), BKKBN (untuk integrasi dengan program KB), dan pemerintah daerah</w:t>
      </w:r>
      <w:r>
        <w:t xml:space="preserve"> </w:t>
      </w:r>
      <w:r>
        <w:t xml:space="preserve">(untuk alokasi anggaran dan koordinasi lintas OPD). Evaluasi GEMAS di</w:t>
      </w:r>
      <w:r>
        <w:t xml:space="preserve"> </w:t>
      </w:r>
      <w:r>
        <w:t xml:space="preserve">beberapa kabupaten menunjukkan peningkatan bermakna dalam cakupan ANC K4</w:t>
      </w:r>
      <w:r>
        <w:t xml:space="preserve"> </w:t>
      </w:r>
      <w:r>
        <w:t xml:space="preserve">dan penurunan angka kematian ibu di daerah implementasi yang kuat.</w:t>
      </w:r>
    </w:p>
    <w:bookmarkEnd w:id="26"/>
    <w:bookmarkStart w:id="27" w:name="X6280a034f3d1d80f6f01e35b5ba2ff99cafbb74"/>
    <w:p>
      <w:pPr>
        <w:pStyle w:val="Heading3"/>
      </w:pPr>
      <w:r>
        <w:t xml:space="preserve">1.2.2 P4K — Perencanaan Persalinan dan Pencegahan Komplikasi</w:t>
      </w:r>
    </w:p>
    <w:p>
      <w:pPr>
        <w:pStyle w:val="FirstParagraph"/>
      </w:pPr>
      <w:r>
        <w:t xml:space="preserve">P4K adalah program yang secara konseptual sederhana namun secara</w:t>
      </w:r>
      <w:r>
        <w:t xml:space="preserve"> </w:t>
      </w:r>
      <w:r>
        <w:t xml:space="preserve">implementasi memiliki dampak yang luar biasa ketika dijalankan dengan</w:t>
      </w:r>
      <w:r>
        <w:t xml:space="preserve"> </w:t>
      </w:r>
      <w:r>
        <w:t xml:space="preserve">benar. Inti P4K adalah stiker berwarna yang dipasang di depan rumah ibu</w:t>
      </w:r>
      <w:r>
        <w:t xml:space="preserve"> </w:t>
      </w:r>
      <w:r>
        <w:t xml:space="preserve">hamil — merah untuk risiko sangat tinggi, kuning untuk risiko tinggi,</w:t>
      </w:r>
      <w:r>
        <w:t xml:space="preserve"> </w:t>
      </w:r>
      <w:r>
        <w:t xml:space="preserve">dan hijau untuk risiko rendah — yang berisi informasi rencana</w:t>
      </w:r>
      <w:r>
        <w:t xml:space="preserve"> </w:t>
      </w:r>
      <w:r>
        <w:t xml:space="preserve">persalinan yang lengkap. Stiker ini bukan hanya penanda visual: ia</w:t>
      </w:r>
      <w:r>
        <w:t xml:space="preserve"> </w:t>
      </w:r>
      <w:r>
        <w:t xml:space="preserve">adalah komitmen publik dari keluarga tentang rencana persalinan yang</w:t>
      </w:r>
      <w:r>
        <w:t xml:space="preserve"> </w:t>
      </w:r>
      <w:r>
        <w:t xml:space="preserve">aman, yang menciptakan akuntabilitas sosial karena seluruh komunitas</w:t>
      </w:r>
      <w:r>
        <w:t xml:space="preserve"> </w:t>
      </w:r>
      <w:r>
        <w:t xml:space="preserve">dapat melihat dan memantau.</w:t>
      </w:r>
    </w:p>
    <w:p>
      <w:pPr>
        <w:pStyle w:val="BodyText"/>
      </w:pPr>
      <w:r>
        <w:t xml:space="preserve">Komponen P4K yang sering diabaikan namun sangat penting: perencanaan</w:t>
      </w:r>
      <w:r>
        <w:t xml:space="preserve"> </w:t>
      </w:r>
      <w:r>
        <w:t xml:space="preserve">donor darah. Di banyak fasilitas, keterlambatan mendapatkan darah adalah</w:t>
      </w:r>
      <w:r>
        <w:t xml:space="preserve"> </w:t>
      </w:r>
      <w:r>
        <w:t xml:space="preserve">faktor kontribusi utama kematian akibat PPH. P4K yang optimal</w:t>
      </w:r>
      <w:r>
        <w:t xml:space="preserve"> </w:t>
      </w:r>
      <w:r>
        <w:t xml:space="preserve">mengidentifikasi minimal dua calon donor darah dengan golongan darah</w:t>
      </w:r>
      <w:r>
        <w:t xml:space="preserve"> </w:t>
      </w:r>
      <w:r>
        <w:t xml:space="preserve">yang sama dari jaringan keluarga atau komunitas, sehingga jika terjadi</w:t>
      </w:r>
      <w:r>
        <w:t xml:space="preserve"> </w:t>
      </w:r>
      <w:r>
        <w:t xml:space="preserve">emergensi darah dapat tersedia dalam waktu yang lebih singkat.</w:t>
      </w:r>
    </w:p>
    <w:bookmarkEnd w:id="27"/>
    <w:bookmarkStart w:id="30" w:name="jaminan-persalinan-jampersal"/>
    <w:p>
      <w:pPr>
        <w:pStyle w:val="Heading3"/>
      </w:pPr>
      <w:r>
        <w:t xml:space="preserve">1.2.3 Jaminan Persalinan (Jampersal)</w:t>
      </w:r>
    </w:p>
    <w:p>
      <w:pPr>
        <w:pStyle w:val="FirstParagraph"/>
      </w:pPr>
      <w:r>
        <w:t xml:space="preserve">Jampersal dirancang untuk menutup kesenjangan akses pembiayaan yang</w:t>
      </w:r>
      <w:r>
        <w:t xml:space="preserve"> </w:t>
      </w:r>
      <w:r>
        <w:t xml:space="preserve">masih ada meskipun JKN sudah berjalan — khususnya untuk perempuan yang</w:t>
      </w:r>
      <w:r>
        <w:t xml:space="preserve"> </w:t>
      </w:r>
      <w:r>
        <w:t xml:space="preserve">tidak terdaftar JKN, yang berpindah-pindah dan administrasinya</w:t>
      </w:r>
      <w:r>
        <w:t xml:space="preserve"> </w:t>
      </w:r>
      <w:r>
        <w:t xml:space="preserve">bermasalah, atau yang menghadapi biaya persalinan non-medis</w:t>
      </w:r>
      <w:r>
        <w:t xml:space="preserve"> </w:t>
      </w:r>
      <w:r>
        <w:t xml:space="preserve">(transportasi, akomodasi pendamping) yang tidak ditanggung JKN.</w:t>
      </w:r>
    </w:p>
    <w:bookmarkStart w:id="28" w:name="a.-cakupan-dan-eligibilitas-terkini"/>
    <w:p>
      <w:pPr>
        <w:pStyle w:val="Heading4"/>
      </w:pPr>
      <w:r>
        <w:t xml:space="preserve">a. Cakupan dan Eligibilitas Terkini</w:t>
      </w:r>
    </w:p>
    <w:p>
      <w:pPr>
        <w:pStyle w:val="FirstParagraph"/>
      </w:pPr>
      <w:r>
        <w:t xml:space="preserve">Jampersal dalam implementasi terkini menanggung: biaya persalinan normal</w:t>
      </w:r>
      <w:r>
        <w:t xml:space="preserve"> </w:t>
      </w:r>
      <w:r>
        <w:t xml:space="preserve">dan komplikasi obstetri di fasilitas yang ditunjuk, biaya rawat inap</w:t>
      </w:r>
      <w:r>
        <w:t xml:space="preserve"> </w:t>
      </w:r>
      <w:r>
        <w:t xml:space="preserve">pasca-persalinan sesuai ketentuan, biaya rujukan kegawatdaruratan</w:t>
      </w:r>
      <w:r>
        <w:t xml:space="preserve"> </w:t>
      </w:r>
      <w:r>
        <w:t xml:space="preserve">obstetri menggunakan ambulans yang ditunjuk, dan biaya bayi yang lahir</w:t>
      </w:r>
      <w:r>
        <w:t xml:space="preserve"> </w:t>
      </w:r>
      <w:r>
        <w:t xml:space="preserve">dari ibu peserta Jampersal jika memerlukan perawatan neonatal.</w:t>
      </w:r>
      <w:r>
        <w:t xml:space="preserve"> </w:t>
      </w:r>
      <w:r>
        <w:t xml:space="preserve">Eligibilitas: WNI yang tidak memiliki jaminan persalinan lainnya,</w:t>
      </w:r>
      <w:r>
        <w:t xml:space="preserve"> </w:t>
      </w:r>
      <w:r>
        <w:t xml:space="preserve">dibuktikan dengan Kartu Tanda Penduduk. Di beberapa daerah, Jampersal</w:t>
      </w:r>
      <w:r>
        <w:t xml:space="preserve"> </w:t>
      </w:r>
      <w:r>
        <w:t xml:space="preserve">juga mencakup biaya transportasi hingga Rp 500.000 per kasus rujukan.</w:t>
      </w:r>
    </w:p>
    <w:bookmarkEnd w:id="28"/>
    <w:bookmarkStart w:id="29" w:name="X150fbe5acf8d6d6103ebc349b9bbd0ccbce9e8b"/>
    <w:p>
      <w:pPr>
        <w:pStyle w:val="Heading4"/>
      </w:pPr>
      <w:r>
        <w:t xml:space="preserve">b. Tantangan Implementasi dan Jalan Keluar</w:t>
      </w:r>
    </w:p>
    <w:p>
      <w:pPr>
        <w:pStyle w:val="FirstParagraph"/>
      </w:pPr>
      <w:r>
        <w:t xml:space="preserve">Tiga tantangan implementasi utama Jampersal yang terdokumentasi:</w:t>
      </w:r>
      <w:r>
        <w:t xml:space="preserve"> </w:t>
      </w:r>
      <w:r>
        <w:t xml:space="preserve">Pertama, keterlambatan pencairan dana dari daerah ke fasilitas —</w:t>
      </w:r>
      <w:r>
        <w:t xml:space="preserve"> </w:t>
      </w:r>
      <w:r>
        <w:t xml:space="preserve">menyebabkan fasilitas menggunakan dana talangan yang membebani arus kas</w:t>
      </w:r>
      <w:r>
        <w:t xml:space="preserve"> </w:t>
      </w:r>
      <w:r>
        <w:t xml:space="preserve">dan menciptakan insentif untuk membatasi pelayanan. Kedua, administrasi</w:t>
      </w:r>
      <w:r>
        <w:t xml:space="preserve"> </w:t>
      </w:r>
      <w:r>
        <w:t xml:space="preserve">klaim yang kompleks — form yang banyak, verifikasi berlapis, dan audit</w:t>
      </w:r>
      <w:r>
        <w:t xml:space="preserve"> </w:t>
      </w:r>
      <w:r>
        <w:t xml:space="preserve">yang tidak proporsional untuk nilai klaim yang relatif kecil. Ketiga,</w:t>
      </w:r>
      <w:r>
        <w:t xml:space="preserve"> </w:t>
      </w:r>
      <w:r>
        <w:t xml:space="preserve">ketidakjelasan batas manfaat — khususnya untuk kasus komplikasi yang</w:t>
      </w:r>
      <w:r>
        <w:t xml:space="preserve"> </w:t>
      </w:r>
      <w:r>
        <w:t xml:space="preserve">memerlukan perawatan ICU atau tindakan yang tidak tercakup dalam daftar</w:t>
      </w:r>
      <w:r>
        <w:t xml:space="preserve"> </w:t>
      </w:r>
      <w:r>
        <w:t xml:space="preserve">manfaat standar. Rekomendasi perbaikan berbasis bukti: integrasi penuh</w:t>
      </w:r>
      <w:r>
        <w:t xml:space="preserve"> </w:t>
      </w:r>
      <w:r>
        <w:t xml:space="preserve">Jampersal ke dalam sistem JKN dengan mekanisme klaim yang sama,</w:t>
      </w:r>
      <w:r>
        <w:t xml:space="preserve"> </w:t>
      </w:r>
      <w:r>
        <w:t xml:space="preserve">simplifikasi administrasi berbasis digital, dan perluasan manfaat untuk</w:t>
      </w:r>
      <w:r>
        <w:t xml:space="preserve"> </w:t>
      </w:r>
      <w:r>
        <w:t xml:space="preserve">mencakup komplikasi neonatal.</w:t>
      </w:r>
    </w:p>
    <w:bookmarkEnd w:id="29"/>
    <w:bookmarkEnd w:id="30"/>
    <w:bookmarkEnd w:id="31"/>
    <w:bookmarkStart w:id="45" w:name="kebijakan-keluarga-berencana"/>
    <w:p>
      <w:pPr>
        <w:pStyle w:val="Heading2"/>
      </w:pPr>
      <w:r>
        <w:t xml:space="preserve">1.3 Kebijakan Keluarga Berencana</w:t>
      </w:r>
    </w:p>
    <w:bookmarkStart w:id="32" w:name="bkkbn-dan-program-kb-nasional"/>
    <w:p>
      <w:pPr>
        <w:pStyle w:val="Heading3"/>
      </w:pPr>
      <w:r>
        <w:t xml:space="preserve">1.3.1 BKKBN dan Program KB Nasional</w:t>
      </w:r>
    </w:p>
    <w:p>
      <w:pPr>
        <w:pStyle w:val="FirstParagraph"/>
      </w:pPr>
      <w:r>
        <w:t xml:space="preserve">BKKBN telah memimpin transformasi demografis Indonesia yang luar biasa</w:t>
      </w:r>
      <w:r>
        <w:t xml:space="preserve"> </w:t>
      </w:r>
      <w:r>
        <w:t xml:space="preserve">dalam setengah abad terakhir. Total Fertility Rate yang turun dari 5,6</w:t>
      </w:r>
      <w:r>
        <w:t xml:space="preserve"> </w:t>
      </w:r>
      <w:r>
        <w:t xml:space="preserve">pada 1970 menjadi 2,14 pada 2023 adalah salah satu pencapaian kebijakan</w:t>
      </w:r>
      <w:r>
        <w:t xml:space="preserve"> </w:t>
      </w:r>
      <w:r>
        <w:t xml:space="preserve">publik paling dramatis di Asia — setara dengan penurunan yang dicapai</w:t>
      </w:r>
      <w:r>
        <w:t xml:space="preserve"> </w:t>
      </w:r>
      <w:r>
        <w:t xml:space="preserve">Thailand dan Vietnam dalam periode yang lebih panjang. Namun era saat</w:t>
      </w:r>
      <w:r>
        <w:t xml:space="preserve"> </w:t>
      </w:r>
      <w:r>
        <w:t xml:space="preserve">ini menghadirkan tantangan yang sangat berbeda dari era mobilisasi massa</w:t>
      </w:r>
      <w:r>
        <w:t xml:space="preserve"> </w:t>
      </w:r>
      <w:r>
        <w:t xml:space="preserve">1970-1990an: unmet need KB yang stagnan di 10-12%, disparitas</w:t>
      </w:r>
      <w:r>
        <w:t xml:space="preserve"> </w:t>
      </w:r>
      <w:r>
        <w:t xml:space="preserve">antar-wilayah yang besar, dan meningkatnya resistensi terhadap metode</w:t>
      </w:r>
      <w:r>
        <w:t xml:space="preserve"> </w:t>
      </w:r>
      <w:r>
        <w:t xml:space="preserve">LARC karena misinformasi di media sosial.</w:t>
      </w:r>
    </w:p>
    <w:bookmarkEnd w:id="32"/>
    <w:bookmarkStart w:id="33" w:name="kontrasepsi-berbasis-hak"/>
    <w:p>
      <w:pPr>
        <w:pStyle w:val="Heading3"/>
      </w:pPr>
      <w:r>
        <w:t xml:space="preserve">1.3.2 Kontrasepsi Berbasis Hak</w:t>
      </w:r>
    </w:p>
    <w:p>
      <w:pPr>
        <w:pStyle w:val="FirstParagraph"/>
      </w:pPr>
      <w:r>
        <w:t xml:space="preserve">Konseling kontrasepsi yang menghormati hak reproduksi dimulai dari</w:t>
      </w:r>
      <w:r>
        <w:t xml:space="preserve"> </w:t>
      </w:r>
      <w:r>
        <w:t xml:space="preserve">pertanyaan tentang tujuan reproduksi pasien — bukan dari rekomendasi</w:t>
      </w:r>
      <w:r>
        <w:t xml:space="preserve"> </w:t>
      </w:r>
      <w:r>
        <w:t xml:space="preserve">metode. 'Apa rencana Ibu untuk kehamilan berikutnya?' adalah</w:t>
      </w:r>
      <w:r>
        <w:t xml:space="preserve"> </w:t>
      </w:r>
      <w:r>
        <w:t xml:space="preserve">pertanyaan pembuka yang jauh lebih menghormati otonomi dibandingkan</w:t>
      </w:r>
      <w:r>
        <w:t xml:space="preserve"> </w:t>
      </w:r>
      <w:r>
        <w:t xml:space="preserve">'Saya sarankan Ibu pakai IUD.' Setelah tujuan reproduksi jelas,</w:t>
      </w:r>
      <w:r>
        <w:t xml:space="preserve"> </w:t>
      </w:r>
      <w:r>
        <w:t xml:space="preserve">informasi tentang semua metode yang relevan disajikan secara seimbang</w:t>
      </w:r>
      <w:r>
        <w:t xml:space="preserve"> </w:t>
      </w:r>
      <w:r>
        <w:t xml:space="preserve">dengan risiko dan manfaat masing-masing, dan keputusan diserahkan</w:t>
      </w:r>
      <w:r>
        <w:t xml:space="preserve"> </w:t>
      </w:r>
      <w:r>
        <w:t xml:space="preserve">sepenuhnya kepada pasien.</w:t>
      </w:r>
    </w:p>
    <w:bookmarkEnd w:id="33"/>
    <w:bookmarkStart w:id="34" w:name="kb-pasca-persalinan-dan-pasca-keguguran"/>
    <w:p>
      <w:pPr>
        <w:pStyle w:val="Heading3"/>
      </w:pPr>
      <w:r>
        <w:t xml:space="preserve">1.3.3 KB Pasca-Persalinan dan Pasca-Keguguran</w:t>
      </w:r>
    </w:p>
    <w:p>
      <w:pPr>
        <w:pStyle w:val="FirstParagraph"/>
      </w:pPr>
      <w:r>
        <w:t xml:space="preserve">Window of opportunity pasca-persalinan untuk kontrasepsi adalah salah</w:t>
      </w:r>
      <w:r>
        <w:t xml:space="preserve"> </w:t>
      </w:r>
      <w:r>
        <w:t xml:space="preserve">satu yang paling strategis namun paling sering terlewatkan dalam sistem</w:t>
      </w:r>
      <w:r>
        <w:t xml:space="preserve"> </w:t>
      </w:r>
      <w:r>
        <w:t xml:space="preserve">pelayanan Indonesia. Ibu yang baru melahirkan memiliki kontak langsung</w:t>
      </w:r>
      <w:r>
        <w:t xml:space="preserve"> </w:t>
      </w:r>
      <w:r>
        <w:t xml:space="preserve">dengan sistem kesehatan, termotivasi untuk melindungi kesehatannya, dan</w:t>
      </w:r>
      <w:r>
        <w:t xml:space="preserve"> </w:t>
      </w:r>
      <w:r>
        <w:t xml:space="preserve">— jika konseling KBPP dilakukan dengan baik sejak ANC — sudah</w:t>
      </w:r>
      <w:r>
        <w:t xml:space="preserve"> </w:t>
      </w:r>
      <w:r>
        <w:t xml:space="preserve">memiliki keputusan tentang kontrasepsi yang akan digunakan. AKDR</w:t>
      </w:r>
      <w:r>
        <w:t xml:space="preserve"> </w:t>
      </w:r>
      <w:r>
        <w:t xml:space="preserve">pasca-plasenta (disisipkan dalam 10 menit setelah lahirnya plasenta)</w:t>
      </w:r>
      <w:r>
        <w:t xml:space="preserve"> </w:t>
      </w:r>
      <w:r>
        <w:t xml:space="preserve">adalah metode dengan keunggulan unik: tidak menambah waktu rawat inap,</w:t>
      </w:r>
      <w:r>
        <w:t xml:space="preserve"> </w:t>
      </w:r>
      <w:r>
        <w:t xml:space="preserve">angka ekspulsi lebih rendah dari insersi interval, dan tidak ada masalah</w:t>
      </w:r>
      <w:r>
        <w:t xml:space="preserve"> </w:t>
      </w:r>
      <w:r>
        <w:t xml:space="preserve">lupa minum pil atau keterlambatan suntik.</w:t>
      </w:r>
    </w:p>
    <w:bookmarkEnd w:id="34"/>
    <w:bookmarkStart w:id="44" w:name="X343ed384e2da964f1c7c44c6e77d1da596bde98"/>
    <w:p>
      <w:pPr>
        <w:pStyle w:val="Heading3"/>
      </w:pPr>
      <w:r>
        <w:t xml:space="preserve">Referensi — BAB 1 — Kebijakan dan Program Kesehatan Ibu Nasional</w:t>
      </w:r>
    </w:p>
    <w:p>
      <w:pPr>
        <w:numPr>
          <w:ilvl w:val="0"/>
          <w:numId w:val="1006"/>
        </w:numPr>
      </w:pPr>
      <w:r>
        <w:t xml:space="preserve">Undang-Undang Republik Indonesia No. 17 Tahun 2023 tentang</w:t>
      </w:r>
      <w:r>
        <w:t xml:space="preserve"> </w:t>
      </w:r>
      <w:r>
        <w:t xml:space="preserve">Kesehatan. Lembaran Negara RI Tahun 2023 No. 105.</w:t>
      </w:r>
      <w:r>
        <w:t xml:space="preserve"> </w:t>
      </w:r>
      <w:hyperlink r:id="rId35">
        <w:r>
          <w:rPr>
            <w:rStyle w:val="Hyperlink"/>
          </w:rPr>
          <w:t xml:space="preserve">https://peraturan.bpk.go.id</w:t>
        </w:r>
      </w:hyperlink>
    </w:p>
    <w:p>
      <w:pPr>
        <w:numPr>
          <w:ilvl w:val="0"/>
          <w:numId w:val="1006"/>
        </w:numPr>
      </w:pPr>
      <w:r>
        <w:t xml:space="preserve">Peraturan Pemerintah No. 61 Tahun 2014 tentang Kesehatan Reproduksi.</w:t>
      </w:r>
      <w:r>
        <w:t xml:space="preserve"> </w:t>
      </w:r>
      <w:r>
        <w:t xml:space="preserve">Lembaran Negara RI Tahun 2014 No. 169.</w:t>
      </w:r>
      <w:r>
        <w:t xml:space="preserve"> </w:t>
      </w:r>
      <w:hyperlink r:id="rId36">
        <w:r>
          <w:rPr>
            <w:rStyle w:val="Hyperlink"/>
          </w:rPr>
          <w:t xml:space="preserve">https://peraturan.bpk.go.id/Details/5515</w:t>
        </w:r>
      </w:hyperlink>
    </w:p>
    <w:p>
      <w:pPr>
        <w:numPr>
          <w:ilvl w:val="0"/>
          <w:numId w:val="1006"/>
        </w:numPr>
      </w:pPr>
      <w:r>
        <w:t xml:space="preserve">Peraturan Menteri Kesehatan No. 21 Tahun 2021 tentang Pelayanan</w:t>
      </w:r>
      <w:r>
        <w:t xml:space="preserve"> </w:t>
      </w:r>
      <w:r>
        <w:t xml:space="preserve">Kesehatan Masa Sebelum Hamil, Masa Hamil, Persalinan, dan Masa</w:t>
      </w:r>
      <w:r>
        <w:t xml:space="preserve"> </w:t>
      </w:r>
      <w:r>
        <w:t xml:space="preserve">Sesudah Melahirkan.</w:t>
      </w:r>
      <w:r>
        <w:t xml:space="preserve"> </w:t>
      </w:r>
      <w:hyperlink r:id="rId37">
        <w:r>
          <w:rPr>
            <w:rStyle w:val="Hyperlink"/>
          </w:rPr>
          <w:t xml:space="preserve">https://peraturan.bpk.go.id/Details/168657</w:t>
        </w:r>
      </w:hyperlink>
    </w:p>
    <w:p>
      <w:pPr>
        <w:numPr>
          <w:ilvl w:val="0"/>
          <w:numId w:val="1006"/>
        </w:numPr>
      </w:pPr>
      <w:r>
        <w:t xml:space="preserve">Kementerian Kesehatan RI. (2021). Pedoman Teknis Pelayanan Antenatal</w:t>
      </w:r>
      <w:r>
        <w:t xml:space="preserve"> </w:t>
      </w:r>
      <w:r>
        <w:t xml:space="preserve">Terpadu. Edisi ke-3. Jakarta: Ditjen Kesehatan Masyarakat.</w:t>
      </w:r>
      <w:r>
        <w:t xml:space="preserve"> </w:t>
      </w:r>
      <w:hyperlink r:id="rId38">
        <w:r>
          <w:rPr>
            <w:rStyle w:val="Hyperlink"/>
          </w:rPr>
          <w:t xml:space="preserve">https://www.kemkes.go.id</w:t>
        </w:r>
      </w:hyperlink>
    </w:p>
    <w:p>
      <w:pPr>
        <w:numPr>
          <w:ilvl w:val="0"/>
          <w:numId w:val="1006"/>
        </w:numPr>
      </w:pPr>
      <w:r>
        <w:t xml:space="preserve">Badan Kependudukan dan Keluarga Berencana Nasional (BKKBN). (2023).</w:t>
      </w:r>
      <w:r>
        <w:t xml:space="preserve"> </w:t>
      </w:r>
      <w:r>
        <w:t xml:space="preserve">Laporan Pelaksanaan Program KKBPK 2023. Jakarta: BKKBN.</w:t>
      </w:r>
      <w:r>
        <w:t xml:space="preserve"> </w:t>
      </w:r>
      <w:hyperlink r:id="rId39">
        <w:r>
          <w:rPr>
            <w:rStyle w:val="Hyperlink"/>
          </w:rPr>
          <w:t xml:space="preserve">https://www.bkkbn.go.id</w:t>
        </w:r>
      </w:hyperlink>
    </w:p>
    <w:p>
      <w:pPr>
        <w:numPr>
          <w:ilvl w:val="0"/>
          <w:numId w:val="1006"/>
        </w:numPr>
      </w:pPr>
      <w:r>
        <w:t xml:space="preserve">World Health Organization. (2015). Strategies toward Ending</w:t>
      </w:r>
      <w:r>
        <w:t xml:space="preserve"> </w:t>
      </w:r>
      <w:r>
        <w:t xml:space="preserve">Preventable Maternal Mortality (EPMM). Geneva: WHO.</w:t>
      </w:r>
      <w:r>
        <w:t xml:space="preserve"> </w:t>
      </w:r>
      <w:hyperlink r:id="rId40">
        <w:r>
          <w:rPr>
            <w:rStyle w:val="Hyperlink"/>
          </w:rPr>
          <w:t xml:space="preserve">https://apps.who.int/iris/handle/10665/153544</w:t>
        </w:r>
      </w:hyperlink>
    </w:p>
    <w:p>
      <w:pPr>
        <w:numPr>
          <w:ilvl w:val="0"/>
          <w:numId w:val="1006"/>
        </w:numPr>
      </w:pPr>
      <w:r>
        <w:t xml:space="preserve">UNFPA. (1994). International Conference on Population and</w:t>
      </w:r>
      <w:r>
        <w:t xml:space="preserve"> </w:t>
      </w:r>
      <w:r>
        <w:t xml:space="preserve">Development — Programme of Action. New York: UNFPA.</w:t>
      </w:r>
    </w:p>
    <w:p>
      <w:pPr>
        <w:pStyle w:val="BlockText"/>
      </w:pPr>
      <w:hyperlink r:id="rId41">
        <w:r>
          <w:rPr>
            <w:rStyle w:val="Hyperlink"/>
          </w:rPr>
          <w:t xml:space="preserve">https://www.unfpa.org/publications/international-conference-population-and-development-programme-action</w:t>
        </w:r>
      </w:hyperlink>
    </w:p>
    <w:p>
      <w:pPr>
        <w:numPr>
          <w:ilvl w:val="0"/>
          <w:numId w:val="1007"/>
        </w:numPr>
        <w:pStyle w:val="Compact"/>
      </w:pPr>
      <w:r>
        <w:t xml:space="preserve">Prost A, Colbourn T, Seward N, et al. (2013). Women's groups</w:t>
      </w:r>
      <w:r>
        <w:t xml:space="preserve"> </w:t>
      </w:r>
      <w:r>
        <w:t xml:space="preserve">practising participatory learning and action to improve maternal and</w:t>
      </w:r>
      <w:r>
        <w:t xml:space="preserve"> </w:t>
      </w:r>
      <w:r>
        <w:t xml:space="preserve">newborn health. Lancet, 381(9879):1736–1746.</w:t>
      </w:r>
    </w:p>
    <w:p>
      <w:pPr>
        <w:pStyle w:val="BlockText"/>
      </w:pPr>
      <w:hyperlink r:id="rId42">
        <w:r>
          <w:rPr>
            <w:rStyle w:val="Hyperlink"/>
          </w:rPr>
          <w:t xml:space="preserve">https://doi.org/10.1016/S0140-6736(13)60685-6</w:t>
        </w:r>
      </w:hyperlink>
    </w:p>
    <w:p>
      <w:pPr>
        <w:numPr>
          <w:ilvl w:val="0"/>
          <w:numId w:val="1008"/>
        </w:numPr>
      </w:pPr>
      <w:r>
        <w:t xml:space="preserve">Kementerian Kesehatan RI. (2020). Petunjuk Teknis Jaminan Persalinan</w:t>
      </w:r>
      <w:r>
        <w:t xml:space="preserve"> </w:t>
      </w:r>
      <w:r>
        <w:t xml:space="preserve">(Jampersal). Jakarta: Kemenkes RI.</w:t>
      </w:r>
      <w:r>
        <w:t xml:space="preserve"> </w:t>
      </w:r>
      <w:hyperlink r:id="rId38">
        <w:r>
          <w:rPr>
            <w:rStyle w:val="Hyperlink"/>
          </w:rPr>
          <w:t xml:space="preserve">https://www.kemkes.go.id</w:t>
        </w:r>
      </w:hyperlink>
    </w:p>
    <w:p>
      <w:pPr>
        <w:numPr>
          <w:ilvl w:val="0"/>
          <w:numId w:val="1008"/>
        </w:numPr>
      </w:pPr>
      <w:r>
        <w:t xml:space="preserve">Kurniati A, Chen CM, Efendi F, et al. (2017). An investigation of</w:t>
      </w:r>
      <w:r>
        <w:t xml:space="preserve"> </w:t>
      </w:r>
      <w:r>
        <w:t xml:space="preserve">health workforce planning and programming in Indonesia. Health</w:t>
      </w:r>
      <w:r>
        <w:t xml:space="preserve"> </w:t>
      </w:r>
      <w:r>
        <w:t xml:space="preserve">Policy and Planning, 32(4):474–481.</w:t>
      </w:r>
    </w:p>
    <w:p>
      <w:pPr>
        <w:pStyle w:val="BlockText"/>
      </w:pPr>
      <w:hyperlink r:id="rId43">
        <w:r>
          <w:rPr>
            <w:rStyle w:val="Hyperlink"/>
          </w:rPr>
          <w:t xml:space="preserve">https://doi.org/10.1093/heapol/czw143</w:t>
        </w:r>
      </w:hyperlink>
    </w:p>
    <w:p>
      <w:pPr>
        <w:pStyle w:val="FirstParagraph"/>
      </w:pPr>
      <w:r>
        <w:rPr>
          <w:bCs/>
          <w:b/>
        </w:rPr>
        <w:t xml:space="preserve">BAB 2</w:t>
      </w:r>
    </w:p>
    <w:p>
      <w:pPr>
        <w:pStyle w:val="BodyText"/>
      </w:pPr>
      <w:r>
        <w:rPr>
          <w:bCs/>
          <w:b/>
        </w:rPr>
        <w:t xml:space="preserve">PELAYANAN ANTENATAL BERBASIS POPULASI</w:t>
      </w:r>
    </w:p>
    <w:p>
      <w:pPr>
        <w:pStyle w:val="BodyText"/>
      </w:pPr>
      <w:r>
        <w:rPr>
          <w:iCs/>
          <w:i/>
        </w:rPr>
        <w:t xml:space="preserve">Dari standar global ke implementasi di seluruh pelosok Indonesia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🎯 TUJUAN PEMBELAJARAN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</w:t>
            </w:r>
            <w:r>
              <w:t xml:space="preserve"> </w:t>
            </w:r>
            <w:r>
              <w:t xml:space="preserve">Membandingkan model ANC WHO 2002 dan 2016 serta standar 14</w:t>
            </w:r>
            <w:r>
              <w:t xml:space="preserve"> </w:t>
            </w:r>
            <w:r>
              <w:t xml:space="preserve">kontak ANC Indonesia (Permenkes 21/2021)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</w:t>
            </w:r>
            <w:r>
              <w:t xml:space="preserve"> </w:t>
            </w:r>
            <w:r>
              <w:t xml:space="preserve">Menjelaskan konten klinis esensial setiap tahapan kunjungan ANC</w:t>
            </w:r>
            <w:r>
              <w:t xml:space="preserve"> </w:t>
            </w:r>
            <w:r>
              <w:t xml:space="preserve">sesuai usia gestasi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</w:t>
            </w:r>
            <w:r>
              <w:t xml:space="preserve"> </w:t>
            </w:r>
            <w:r>
              <w:t xml:space="preserve">Menguasai Kartu Skor Poedji Rochjati dan algoritma skrining</w:t>
            </w:r>
            <w:r>
              <w:t xml:space="preserve"> </w:t>
            </w:r>
            <w:r>
              <w:t xml:space="preserve">risiko antenatal terpadu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</w:t>
            </w:r>
            <w:r>
              <w:t xml:space="preserve"> </w:t>
            </w:r>
            <w:r>
              <w:t xml:space="preserve">Merancang strategi peningkatan cakupan dan kualitas ANC berbasis</w:t>
            </w:r>
            <w:r>
              <w:t xml:space="preserve"> </w:t>
            </w:r>
            <w:r>
              <w:t xml:space="preserve">analisis hambatan lokal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</w:t>
            </w:r>
            <w:r>
              <w:t xml:space="preserve"> </w:t>
            </w:r>
            <w:r>
              <w:t xml:space="preserve">Mengintegrasikan skrining multi-domain (obstetri, mental, IMS,</w:t>
            </w:r>
            <w:r>
              <w:t xml:space="preserve"> </w:t>
            </w:r>
            <w:r>
              <w:t xml:space="preserve">gizi) dalam alur ANC rutin</w:t>
            </w:r>
          </w:p>
        </w:tc>
      </w:tr>
    </w:tbl>
    <w:bookmarkEnd w:id="44"/>
    <w:bookmarkEnd w:id="45"/>
    <w:bookmarkStart w:id="51" w:name="standar-antenatal-care-anc-who"/>
    <w:p>
      <w:pPr>
        <w:pStyle w:val="Heading2"/>
      </w:pPr>
      <w:r>
        <w:t xml:space="preserve">2.1 Standar Antenatal Care (ANC) WHO</w:t>
      </w:r>
    </w:p>
    <w:p>
      <w:pPr>
        <w:pStyle w:val="FirstParagraph"/>
      </w:pPr>
      <w:r>
        <w:t xml:space="preserve">Pelayanan antenatal berkualitas adalah investasi kesehatan publik dengan</w:t>
      </w:r>
      <w:r>
        <w:t xml:space="preserve"> </w:t>
      </w:r>
      <w:r>
        <w:t xml:space="preserve">return terbesar per rupiah yang dikeluarkan — jauh melampaui bahkan</w:t>
      </w:r>
      <w:r>
        <w:t xml:space="preserve"> </w:t>
      </w:r>
      <w:r>
        <w:t xml:space="preserve">intervensi klinis paling canggih. Setiap dolar yang diinvestasikan dalam</w:t>
      </w:r>
      <w:r>
        <w:t xml:space="preserve"> </w:t>
      </w:r>
      <w:r>
        <w:t xml:space="preserve">ANC berkualitas menyelamatkan nyawa ibu dan bayi dengan biaya yang jauh</w:t>
      </w:r>
      <w:r>
        <w:t xml:space="preserve"> </w:t>
      </w:r>
      <w:r>
        <w:t xml:space="preserve">lebih rendah dari penanganan komplikasi yang dapat dicegah. Namun</w:t>
      </w:r>
      <w:r>
        <w:t xml:space="preserve"> </w:t>
      </w:r>
      <w:r>
        <w:t xml:space="preserve">'berkualitas' bukan berarti banyak kunjungan — melainkan kunjungan</w:t>
      </w:r>
      <w:r>
        <w:t xml:space="preserve"> </w:t>
      </w:r>
      <w:r>
        <w:t xml:space="preserve">yang tepat sasaran, dengan konten yang benar, pada waktu yang strategis</w:t>
      </w:r>
      <w:r>
        <w:t xml:space="preserve"> </w:t>
      </w:r>
      <w:r>
        <w:t xml:space="preserve">untuk deteksi dini dan intervensi bermakna.</w:t>
      </w:r>
    </w:p>
    <w:bookmarkStart w:id="46" w:name="X5338fc921b5206d308fafa612f2d7b639f0f7af"/>
    <w:p>
      <w:pPr>
        <w:pStyle w:val="Heading3"/>
      </w:pPr>
      <w:r>
        <w:t xml:space="preserve">2.1.1 Evolusi Model ANC WHO: Dari Terfokus ke Komprehensif</w:t>
      </w:r>
    </w:p>
    <w:p>
      <w:pPr>
        <w:pStyle w:val="FirstParagraph"/>
      </w:pPr>
      <w:r>
        <w:t xml:space="preserve">Model ANC Terfokus (Focused ANC) yang diperkenalkan WHO pada 2002</w:t>
      </w:r>
      <w:r>
        <w:t xml:space="preserve"> </w:t>
      </w:r>
      <w:r>
        <w:t xml:space="preserve">menggeser paradigma dari 'semakin banyak kunjungan semakin baik'</w:t>
      </w:r>
      <w:r>
        <w:t xml:space="preserve"> </w:t>
      </w:r>
      <w:r>
        <w:t xml:space="preserve">menjadi empat kunjungan berbasis risiko yang terstandar. Model ini</w:t>
      </w:r>
      <w:r>
        <w:t xml:space="preserve"> </w:t>
      </w:r>
      <w:r>
        <w:t xml:space="preserve">merupakan respons terhadap bukti bahwa kunjungan yang banyak namun</w:t>
      </w:r>
      <w:r>
        <w:t xml:space="preserve"> </w:t>
      </w:r>
      <w:r>
        <w:t xml:space="preserve">berkualitas rendah tidak memberikan manfaat yang bermakna dibandingkan</w:t>
      </w:r>
      <w:r>
        <w:t xml:space="preserve"> </w:t>
      </w:r>
      <w:r>
        <w:t xml:space="preserve">kunjungan lebih sedikit namun dengan konten yang tepat dan bermutu.</w:t>
      </w:r>
      <w:r>
        <w:t xml:space="preserve"> </w:t>
      </w:r>
      <w:r>
        <w:t xml:space="preserve">Focused ANC menetapkan empat kunjungan dengan konten spesifik: kunjungan</w:t>
      </w:r>
      <w:r>
        <w:t xml:space="preserve"> </w:t>
      </w:r>
      <w:r>
        <w:t xml:space="preserve">pertama sebelum 16 minggu untuk penetapan baseline, kunjungan kedua</w:t>
      </w:r>
      <w:r>
        <w:t xml:space="preserve"> </w:t>
      </w:r>
      <w:r>
        <w:t xml:space="preserve">24-28 minggu untuk deteksi pre-eklampsia dan anemia, kunjungan ketiga 32</w:t>
      </w:r>
      <w:r>
        <w:t xml:space="preserve"> </w:t>
      </w:r>
      <w:r>
        <w:t xml:space="preserve">minggu untuk pemantauan pertumbuhan janin, dan kunjungan keempat 36-38</w:t>
      </w:r>
      <w:r>
        <w:t xml:space="preserve"> </w:t>
      </w:r>
      <w:r>
        <w:t xml:space="preserve">minggu untuk persiapan persalinan.</w:t>
      </w:r>
    </w:p>
    <w:p>
      <w:pPr>
        <w:pStyle w:val="BodyText"/>
      </w:pPr>
      <w:r>
        <w:t xml:space="preserve">Model 2016 merevisi pendekatan Focused ANC secara fundamental</w:t>
      </w:r>
      <w:r>
        <w:t xml:space="preserve"> </w:t>
      </w:r>
      <w:r>
        <w:t xml:space="preserve">berdasarkan bukti baru yang menunjukkan bahwa minimal 8 kontak ANC</w:t>
      </w:r>
      <w:r>
        <w:t xml:space="preserve"> </w:t>
      </w:r>
      <w:r>
        <w:t xml:space="preserve">berkaitan dengan penurunan kematian perinatal yang bermakna dibandingkan</w:t>
      </w:r>
      <w:r>
        <w:t xml:space="preserve"> </w:t>
      </w:r>
      <w:r>
        <w:t xml:space="preserve">model 4-kunjungan. Terminologi bergeser dari 'kunjungan' (visit)</w:t>
      </w:r>
      <w:r>
        <w:t xml:space="preserve"> </w:t>
      </w:r>
      <w:r>
        <w:t xml:space="preserve">menjadi 'kontak' (contact) — menekankan bahwa setiap interaksi</w:t>
      </w:r>
      <w:r>
        <w:t xml:space="preserve"> </w:t>
      </w:r>
      <w:r>
        <w:t xml:space="preserve">antara ibu hamil dan sistem kesehatan adalah peluang intervensi yang</w:t>
      </w:r>
      <w:r>
        <w:t xml:space="preserve"> </w:t>
      </w:r>
      <w:r>
        <w:t xml:space="preserve">tidak boleh disia-siakan. Model 2016 juga memperluas kandungan ANC</w:t>
      </w:r>
      <w:r>
        <w:t xml:space="preserve"> </w:t>
      </w:r>
      <w:r>
        <w:t xml:space="preserve">secara signifikan: menambahkan skrining mental health, konseling gizi</w:t>
      </w:r>
      <w:r>
        <w:t xml:space="preserve"> </w:t>
      </w:r>
      <w:r>
        <w:t xml:space="preserve">yang lebih komprehensif, dan intervensi berbasis bukti baru untuk</w:t>
      </w:r>
      <w:r>
        <w:t xml:space="preserve"> </w:t>
      </w:r>
      <w:r>
        <w:t xml:space="preserve">pre-eklampsia.</w:t>
      </w:r>
    </w:p>
    <w:tbl>
      <w:tblPr>
        <w:tblStyle w:val="Table"/>
        <w:tblW w:type="pct" w:w="4865"/>
        <w:tblLook w:firstRow="1" w:lastRow="0" w:firstColumn="0" w:lastColumn="0" w:noHBand="0" w:noVBand="0" w:val="0020"/>
        <w:jc w:val="start"/>
      </w:tblPr>
      <w:tblGrid>
        <w:gridCol w:w="2568"/>
        <w:gridCol w:w="2568"/>
        <w:gridCol w:w="256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Aspek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Focused ANC (2002)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Model ANC WHO 2016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Jumlah kontak minimal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kunjungan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 kontak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Terminologi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Visit (kunjungan)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Contact (kontak)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Skrining pre-eklampsia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Tekanan darah +</w:t>
            </w:r>
            <w:r>
              <w:t xml:space="preserve"> </w:t>
            </w:r>
            <w:r>
              <w:t xml:space="preserve">proteinuria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 Doppler uterina +</w:t>
            </w:r>
            <w:r>
              <w:t xml:space="preserve"> </w:t>
            </w:r>
            <w:r>
              <w:t xml:space="preserve">biomarker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Kesehatan mental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Tidak terstandar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EPDS termasuk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HIV/IMS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Opsional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Universal opt-out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Dukungan kemitraan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Tidak ada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Dianjurkan libatkan</w:t>
            </w:r>
            <w:r>
              <w:t xml:space="preserve"> </w:t>
            </w:r>
            <w:r>
              <w:t xml:space="preserve">pasangan</w:t>
            </w:r>
          </w:p>
        </w:tc>
      </w:tr>
    </w:tbl>
    <w:bookmarkEnd w:id="46"/>
    <w:bookmarkStart w:id="50" w:name="X2ce21f09b32e1fcd90d66f7d4a95b4e92ccfc93"/>
    <w:p>
      <w:pPr>
        <w:pStyle w:val="Heading3"/>
      </w:pPr>
      <w:r>
        <w:t xml:space="preserve">2.1.2 Standar ANC 14 Kontak Indonesia (Permenkes 21/2021)</w:t>
      </w:r>
    </w:p>
    <w:p>
      <w:pPr>
        <w:pStyle w:val="FirstParagraph"/>
      </w:pPr>
      <w:r>
        <w:t xml:space="preserve">Indonesia mengadaptasi model WHO 2016 menjadi standar 14 kontak ANC yang</w:t>
      </w:r>
      <w:r>
        <w:t xml:space="preserve"> </w:t>
      </w:r>
      <w:r>
        <w:t xml:space="preserve">disesuaikan dengan arsitektur sistem kesehatan nasional — dari</w:t>
      </w:r>
      <w:r>
        <w:t xml:space="preserve"> </w:t>
      </w:r>
      <w:r>
        <w:t xml:space="preserve">Puskesmas sebagai gerbang pertama hingga rujukan tersier. Memahami</w:t>
      </w:r>
      <w:r>
        <w:t xml:space="preserve"> </w:t>
      </w:r>
      <w:r>
        <w:t xml:space="preserve">detail standar ini bukan hanya tentang memenuhi target administratif,</w:t>
      </w:r>
      <w:r>
        <w:t xml:space="preserve"> </w:t>
      </w:r>
      <w:r>
        <w:t xml:space="preserve">melainkan tentang memaksimalkan nilai setiap pertemuan dengan ibu hamil</w:t>
      </w:r>
      <w:r>
        <w:t xml:space="preserve"> </w:t>
      </w:r>
      <w:r>
        <w:t xml:space="preserve">sebagai kesempatan deteksi dini dan intervensi bermakna.</w:t>
      </w:r>
    </w:p>
    <w:bookmarkStart w:id="47" w:name="X02e1f6e53fcc847843a28bde48eae1fb980e624"/>
    <w:p>
      <w:pPr>
        <w:pStyle w:val="Heading4"/>
      </w:pPr>
      <w:r>
        <w:t xml:space="preserve">a. Trimester I: 2 Kontak — Menetapkan Baseline dan Deteksi Dini Risiko</w:t>
      </w:r>
    </w:p>
    <w:p>
      <w:pPr>
        <w:pStyle w:val="FirstParagraph"/>
      </w:pPr>
      <w:r>
        <w:t xml:space="preserve">Dua kontak di trimester pertama adalah yang paling krusial dan paling</w:t>
      </w:r>
      <w:r>
        <w:t xml:space="preserve"> </w:t>
      </w:r>
      <w:r>
        <w:t xml:space="preserve">sering dilewatkan. Kontak pertama — idealnya sebelum 10 minggu —</w:t>
      </w:r>
      <w:r>
        <w:t xml:space="preserve"> </w:t>
      </w:r>
      <w:r>
        <w:t xml:space="preserve">menetapkan baseline komprehensif: konfirmasi kehamilan dan usia gestasi</w:t>
      </w:r>
      <w:r>
        <w:t xml:space="preserve"> </w:t>
      </w:r>
      <w:r>
        <w:t xml:space="preserve">(USG ideal, HPHT jika USG tidak tersedia), anamnesis menyeluruh mencakup</w:t>
      </w:r>
      <w:r>
        <w:t xml:space="preserve"> </w:t>
      </w:r>
      <w:r>
        <w:t xml:space="preserve">riwayat penyakit kronis, riwayat obstetri sebelumnya, dan riwayat</w:t>
      </w:r>
      <w:r>
        <w:t xml:space="preserve"> </w:t>
      </w:r>
      <w:r>
        <w:t xml:space="preserve">keluarga yang relevan. Pemeriksaan fisik lengkap: tinggi badan, berat</w:t>
      </w:r>
      <w:r>
        <w:t xml:space="preserve"> </w:t>
      </w:r>
      <w:r>
        <w:t xml:space="preserve">badan, IMT, tekanan darah baseline, dan pemeriksaan ginekologi jika</w:t>
      </w:r>
      <w:r>
        <w:t xml:space="preserve"> </w:t>
      </w:r>
      <w:r>
        <w:t xml:space="preserve">diindikasikan.</w:t>
      </w:r>
    </w:p>
    <w:p>
      <w:pPr>
        <w:pStyle w:val="BodyText"/>
      </w:pPr>
      <w:r>
        <w:t xml:space="preserve">Paket pemeriksaan laboratorium kontak pertama yang lengkap mencakup:</w:t>
      </w:r>
      <w:r>
        <w:t xml:space="preserve"> </w:t>
      </w:r>
      <w:r>
        <w:t xml:space="preserve">golongan darah dan rhesus, hemoglobin, gula darah puasa, tes HIV</w:t>
      </w:r>
      <w:r>
        <w:t xml:space="preserve"> </w:t>
      </w:r>
      <w:r>
        <w:t xml:space="preserve">(opt-out), HBsAg, sifilis (RPR/VDRL), protein urin, dan pemeriksaan</w:t>
      </w:r>
      <w:r>
        <w:t xml:space="preserve"> </w:t>
      </w:r>
      <w:r>
        <w:t xml:space="preserve">parasit malaria di daerah endemis. Konseling nutrisi dimulai dari kontak</w:t>
      </w:r>
      <w:r>
        <w:t xml:space="preserve"> </w:t>
      </w:r>
      <w:r>
        <w:t xml:space="preserve">pertama: suplementasi asam folat 400-800 mcg per hari yang idealnya</w:t>
      </w:r>
      <w:r>
        <w:t xml:space="preserve"> </w:t>
      </w:r>
      <w:r>
        <w:t xml:space="preserve">sudah dimulai sebelum konsepsi, zat besi 60 mg elemental iron sehari</w:t>
      </w:r>
      <w:r>
        <w:t xml:space="preserve"> </w:t>
      </w:r>
      <w:r>
        <w:t xml:space="preserve">mulai trimester I, dan kalsium 1.000-1.500 mg per hari terutama jika</w:t>
      </w:r>
      <w:r>
        <w:t xml:space="preserve"> </w:t>
      </w:r>
      <w:r>
        <w:t xml:space="preserve">risiko pre-eklampsia.</w:t>
      </w:r>
    </w:p>
    <w:bookmarkEnd w:id="47"/>
    <w:bookmarkStart w:id="48" w:name="Xeb01bd3a30dac88836b2e0f2e7b7b62afa1f596"/>
    <w:p>
      <w:pPr>
        <w:pStyle w:val="Heading4"/>
      </w:pPr>
      <w:r>
        <w:t xml:space="preserve">b. Trimester II: 1 Kontak — Pemantauan dan Skrining Lanjutan</w:t>
      </w:r>
    </w:p>
    <w:p>
      <w:pPr>
        <w:pStyle w:val="FirstParagraph"/>
      </w:pPr>
      <w:r>
        <w:t xml:space="preserve">Kontak tunggal di trimester kedua (idealnya 18-24 minggu) adalah momen</w:t>
      </w:r>
      <w:r>
        <w:t xml:space="preserve"> </w:t>
      </w:r>
      <w:r>
        <w:t xml:space="preserve">strategis untuk: USG anomali janin yang mendetail jika memungkinkan,</w:t>
      </w:r>
      <w:r>
        <w:t xml:space="preserve"> </w:t>
      </w:r>
      <w:r>
        <w:t xml:space="preserve">skrining diabetes gestasional menggunakan Tes Toleransi Glukosa Oral 75g</w:t>
      </w:r>
      <w:r>
        <w:t xml:space="preserve"> </w:t>
      </w:r>
      <w:r>
        <w:t xml:space="preserve">atau minimal pemeriksaan gula darah 2 jam postprandial, evaluasi</w:t>
      </w:r>
      <w:r>
        <w:t xml:space="preserve"> </w:t>
      </w:r>
      <w:r>
        <w:t xml:space="preserve">pertumbuhan janin (tinggi fundus uteri sesuai grafik pertumbuhan), dan</w:t>
      </w:r>
      <w:r>
        <w:t xml:space="preserve"> </w:t>
      </w:r>
      <w:r>
        <w:t xml:space="preserve">penilaian ulang skor risiko KSPR yang mungkin berubah.</w:t>
      </w:r>
    </w:p>
    <w:bookmarkEnd w:id="48"/>
    <w:bookmarkStart w:id="49" w:name="Xb2a510da5ec1c89b96ffa091761db806b1713f6"/>
    <w:p>
      <w:pPr>
        <w:pStyle w:val="Heading4"/>
      </w:pPr>
      <w:r>
        <w:t xml:space="preserve">c. Trimester III: 3 Kontak — Persiapan Persalinan Aman</w:t>
      </w:r>
    </w:p>
    <w:p>
      <w:pPr>
        <w:pStyle w:val="FirstParagraph"/>
      </w:pPr>
      <w:r>
        <w:t xml:space="preserve">Tiga kontak di trimester ketiga (32, 36, dan 38 minggu) berfokus pada:</w:t>
      </w:r>
      <w:r>
        <w:t xml:space="preserve"> </w:t>
      </w:r>
      <w:r>
        <w:t xml:space="preserve">pemantauan ketat tekanan darah dan protein urin untuk deteksi dini</w:t>
      </w:r>
      <w:r>
        <w:t xml:space="preserve"> </w:t>
      </w:r>
      <w:r>
        <w:t xml:space="preserve">pre-eklampsia, evaluasi posisi janin dan estimasi berat janin, penilaian</w:t>
      </w:r>
      <w:r>
        <w:t xml:space="preserve"> </w:t>
      </w:r>
      <w:r>
        <w:t xml:space="preserve">pelvis klinis jika diindikasikan, konseling tanda-tanda persalinan dan</w:t>
      </w:r>
      <w:r>
        <w:t xml:space="preserve"> </w:t>
      </w:r>
      <w:r>
        <w:t xml:space="preserve">kapan harus ke fasilitas, penyusunan rencana persalinan konkret (di</w:t>
      </w:r>
      <w:r>
        <w:t xml:space="preserve"> </w:t>
      </w:r>
      <w:r>
        <w:t xml:space="preserve">mana, dengan siapa, transportasi apa, dana cadangan berapa), pembahasan</w:t>
      </w:r>
      <w:r>
        <w:t xml:space="preserve"> </w:t>
      </w:r>
      <w:r>
        <w:t xml:space="preserve">KBPP, dan — yang sering terlupa — skrining depresi pascapartum</w:t>
      </w:r>
      <w:r>
        <w:t xml:space="preserve"> </w:t>
      </w:r>
      <w:r>
        <w:t xml:space="preserve">menggunakan EPDS.</w:t>
      </w:r>
    </w:p>
    <w:bookmarkEnd w:id="49"/>
    <w:bookmarkEnd w:id="50"/>
    <w:bookmarkEnd w:id="51"/>
    <w:bookmarkStart w:id="52" w:name="cakupan-dan-disparitas-anc-di-indonesia"/>
    <w:p>
      <w:pPr>
        <w:pStyle w:val="Heading2"/>
      </w:pPr>
      <w:r>
        <w:t xml:space="preserve">2.2 Cakupan dan Disparitas ANC di Indonesia</w:t>
      </w:r>
    </w:p>
    <w:p>
      <w:pPr>
        <w:pStyle w:val="FirstParagraph"/>
      </w:pPr>
      <w:r>
        <w:t xml:space="preserve">Cakupan ANC K4 Indonesia secara nasional tampak memuaskan di atas kertas</w:t>
      </w:r>
      <w:r>
        <w:t xml:space="preserve"> </w:t>
      </w:r>
      <w:r>
        <w:t xml:space="preserve">— sekitar 89% pada 2022. Namun angka ini menyembunyikan realitas yang</w:t>
      </w:r>
      <w:r>
        <w:t xml:space="preserve"> </w:t>
      </w:r>
      <w:r>
        <w:t xml:space="preserve">lebih kompleks dan mengkhawatirkan: disparitas yang dramatis antara</w:t>
      </w:r>
      <w:r>
        <w:t xml:space="preserve"> </w:t>
      </w:r>
      <w:r>
        <w:t xml:space="preserve">wilayah, antara kelompok sosial ekonomi, dan antara kawasan urban dan</w:t>
      </w:r>
      <w:r>
        <w:t xml:space="preserve"> </w:t>
      </w:r>
      <w:r>
        <w:t xml:space="preserve">rural. Cakupan rata-rata nasional yang tinggi seringkali merupakan</w:t>
      </w:r>
      <w:r>
        <w:t xml:space="preserve"> </w:t>
      </w:r>
      <w:r>
        <w:t xml:space="preserve">rata-rata dari cakupan sangat tinggi di Jawa-Bali yang menutup cakupan</w:t>
      </w:r>
      <w:r>
        <w:t xml:space="preserve"> </w:t>
      </w:r>
      <w:r>
        <w:t xml:space="preserve">sangat rendah di Papua, NTT, dan Maluku.</w:t>
      </w:r>
    </w:p>
    <w:tbl>
      <w:tblPr>
        <w:tblStyle w:val="Table"/>
        <w:tblW w:type="pct" w:w="4865"/>
        <w:tblLook w:firstRow="1" w:lastRow="0" w:firstColumn="0" w:lastColumn="0" w:noHBand="0" w:noVBand="0" w:val="0020"/>
        <w:jc w:val="start"/>
      </w:tblPr>
      <w:tblGrid>
        <w:gridCol w:w="3852"/>
        <w:gridCol w:w="385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Kelompok/Wilayah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Cakupan K4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Nasional (2022)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89,2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Jawa-Bali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94-97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Kalimantan Tengah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NTT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Papua Pegunungan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38-45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Kuintil kekayaan tertinggi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Kuintil kekayaan terendah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Perkotaan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Pedesaan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83</w:t>
            </w:r>
          </w:p>
        </w:tc>
      </w:tr>
    </w:tbl>
    <w:bookmarkEnd w:id="52"/>
    <w:bookmarkStart w:id="59" w:name="skrining-dan-deteksi-risiko-antenatal"/>
    <w:p>
      <w:pPr>
        <w:pStyle w:val="Heading2"/>
      </w:pPr>
      <w:r>
        <w:t xml:space="preserve">2.3 Skrining dan Deteksi Risiko Antenatal</w:t>
      </w:r>
    </w:p>
    <w:bookmarkStart w:id="55" w:name="kartu-skor-poedji-rochjati-kspr"/>
    <w:p>
      <w:pPr>
        <w:pStyle w:val="Heading3"/>
      </w:pPr>
      <w:r>
        <w:t xml:space="preserve">2.3.1 Kartu Skor Poedji Rochjati (KSPR)</w:t>
      </w:r>
    </w:p>
    <w:p>
      <w:pPr>
        <w:pStyle w:val="FirstParagraph"/>
      </w:pPr>
      <w:r>
        <w:t xml:space="preserve">Kartu Skor Poedji Rochjati (KSPR) adalah inovasi sistem kesehatan</w:t>
      </w:r>
      <w:r>
        <w:t xml:space="preserve"> </w:t>
      </w:r>
      <w:r>
        <w:t xml:space="preserve">Indonesia yang tidak boleh dipandang sebelah mata — ia adalah</w:t>
      </w:r>
      <w:r>
        <w:t xml:space="preserve"> </w:t>
      </w:r>
      <w:r>
        <w:t xml:space="preserve">instrumen skrining risiko kehamilan berbasis skor yang dikembangkan</w:t>
      </w:r>
      <w:r>
        <w:t xml:space="preserve"> </w:t>
      </w:r>
      <w:r>
        <w:t xml:space="preserve">melalui penelitian panjang oleh Prof. dr. Poedji Rochjati, SpOG di</w:t>
      </w:r>
      <w:r>
        <w:t xml:space="preserve"> </w:t>
      </w:r>
      <w:r>
        <w:t xml:space="preserve">Surabaya, dan telah divalidasi untuk konteks Indonesia. Keunggulannya</w:t>
      </w:r>
      <w:r>
        <w:t xml:space="preserve"> </w:t>
      </w:r>
      <w:r>
        <w:t xml:space="preserve">terletak pada kesederhanaannya yang memungkinkan penggunaan oleh bidan</w:t>
      </w:r>
      <w:r>
        <w:t xml:space="preserve"> </w:t>
      </w:r>
      <w:r>
        <w:t xml:space="preserve">di fasilitas paling terpencil sekalipun, namun tetap memiliki validitas</w:t>
      </w:r>
      <w:r>
        <w:t xml:space="preserve"> </w:t>
      </w:r>
      <w:r>
        <w:t xml:space="preserve">prediktif yang cukup untuk triase risiko yang bermakna.</w:t>
      </w:r>
    </w:p>
    <w:bookmarkStart w:id="53" w:name="X5b66bf40b079957fc3c1e0d44d7821c19e31e7a"/>
    <w:p>
      <w:pPr>
        <w:pStyle w:val="Heading4"/>
      </w:pPr>
      <w:r>
        <w:t xml:space="preserve">a. Cara Penilaian dan Interpretasi Skor KSPR</w:t>
      </w:r>
    </w:p>
    <w:p>
      <w:pPr>
        <w:pStyle w:val="FirstParagraph"/>
      </w:pPr>
      <w:r>
        <w:t xml:space="preserve">Setiap ibu hamil mendapat skor awal 2 (kondisi normal kehamilan).</w:t>
      </w:r>
      <w:r>
        <w:t xml:space="preserve"> </w:t>
      </w:r>
      <w:r>
        <w:t xml:space="preserve">Faktor-faktor risiko yang masing-masing menambahkan skor 4 mencakup:</w:t>
      </w:r>
      <w:r>
        <w:t xml:space="preserve"> </w:t>
      </w:r>
      <w:r>
        <w:t xml:space="preserve">usia terlalu muda (&lt;16 tahun) atau terlalu tua (&gt;35 tahun) untuk</w:t>
      </w:r>
      <w:r>
        <w:t xml:space="preserve"> </w:t>
      </w:r>
      <w:r>
        <w:t xml:space="preserve">kehamilan pertama, terlalu cepat hamil lagi (&lt;2 tahun dari persalinan</w:t>
      </w:r>
      <w:r>
        <w:t xml:space="preserve"> </w:t>
      </w:r>
      <w:r>
        <w:t xml:space="preserve">sebelumnya), terlalu lama hamil lagi (&gt;10 tahun), terlalu banyak anak</w:t>
      </w:r>
      <w:r>
        <w:t xml:space="preserve"> </w:t>
      </w:r>
      <w:r>
        <w:t xml:space="preserve">(≥4 anak), tinggi badan terlalu pendek (&lt;145 cm), pernah gagal</w:t>
      </w:r>
      <w:r>
        <w:t xml:space="preserve"> </w:t>
      </w:r>
      <w:r>
        <w:t xml:space="preserve">kehamilan, pernah melahirkan dengan tindakan operasi, dan anemia berat.</w:t>
      </w:r>
      <w:r>
        <w:t xml:space="preserve"> </w:t>
      </w:r>
      <w:r>
        <w:t xml:space="preserve">Faktor dengan skor 8 (risiko lebih tinggi): letak sungsang, letak</w:t>
      </w:r>
      <w:r>
        <w:t xml:space="preserve"> </w:t>
      </w:r>
      <w:r>
        <w:t xml:space="preserve">lintang, perdarahan antepartum, dan pre-eklampsia berat.</w:t>
      </w:r>
    </w:p>
    <w:bookmarkEnd w:id="53"/>
    <w:bookmarkStart w:id="54" w:name="X8adb93b6e0058ce79fed6f79429b82111bc9841"/>
    <w:p>
      <w:pPr>
        <w:pStyle w:val="Heading4"/>
      </w:pPr>
      <w:r>
        <w:t xml:space="preserve">b. Tindak Lanjut Berdasarkan Kelompok Risiko</w:t>
      </w:r>
    </w:p>
    <w:p>
      <w:pPr>
        <w:pStyle w:val="FirstParagraph"/>
      </w:pPr>
      <w:r>
        <w:t xml:space="preserve">Kelompok I (Kehamilan Risiko Rendah, skor 2): boleh bersalin di</w:t>
      </w:r>
      <w:r>
        <w:t xml:space="preserve"> </w:t>
      </w:r>
      <w:r>
        <w:t xml:space="preserve">fasilitas primer dengan bidan terampil; Kelompok II (Kehamilan Risiko</w:t>
      </w:r>
      <w:r>
        <w:t xml:space="preserve"> </w:t>
      </w:r>
      <w:r>
        <w:t xml:space="preserve">Tinggi, skor 6-10): harus bersalin di fasilitas dengan kemampuan PONED</w:t>
      </w:r>
      <w:r>
        <w:t xml:space="preserve"> </w:t>
      </w:r>
      <w:r>
        <w:t xml:space="preserve">atau PONEK; Kelompok III (Kehamilan Risiko Sangat Tinggi, skor ≥12):</w:t>
      </w:r>
      <w:r>
        <w:t xml:space="preserve"> </w:t>
      </w:r>
      <w:r>
        <w:t xml:space="preserve">harus bersalin di RS dengan kemampuan bedah obstetri dan transfusi</w:t>
      </w:r>
      <w:r>
        <w:t xml:space="preserve"> </w:t>
      </w:r>
      <w:r>
        <w:t xml:space="preserve">darah. KSPR bukan hanya alat skrining — ia adalah alat komunikasi yang</w:t>
      </w:r>
      <w:r>
        <w:t xml:space="preserve"> </w:t>
      </w:r>
      <w:r>
        <w:t xml:space="preserve">memungkinkan dokter, bidan, dan pasien berbicara dalam bahasa yang sama</w:t>
      </w:r>
      <w:r>
        <w:t xml:space="preserve"> </w:t>
      </w:r>
      <w:r>
        <w:t xml:space="preserve">tentang risiko dan rencana persalinan.</w:t>
      </w:r>
    </w:p>
    <w:bookmarkEnd w:id="54"/>
    <w:bookmarkEnd w:id="55"/>
    <w:bookmarkStart w:id="56" w:name="skrining-pre-eklampsia-berbasis-bukti"/>
    <w:p>
      <w:pPr>
        <w:pStyle w:val="Heading3"/>
      </w:pPr>
      <w:r>
        <w:t xml:space="preserve">2.3.2 Skrining Pre-Eklampsia Berbasis Bukti</w:t>
      </w:r>
    </w:p>
    <w:p>
      <w:pPr>
        <w:pStyle w:val="FirstParagraph"/>
      </w:pPr>
      <w:r>
        <w:t xml:space="preserve">Pre-eklampsia menyebabkan 27% kematian maternal di Indonesia dan hampir</w:t>
      </w:r>
      <w:r>
        <w:t xml:space="preserve"> </w:t>
      </w:r>
      <w:r>
        <w:t xml:space="preserve">sepenuhnya dapat diprediksi sejak trimester pertama menggunakan</w:t>
      </w:r>
      <w:r>
        <w:t xml:space="preserve"> </w:t>
      </w:r>
      <w:r>
        <w:t xml:space="preserve">algoritma skrining kombinasi yang dikembangkan oleh Nicolaides dan Fetal</w:t>
      </w:r>
      <w:r>
        <w:t xml:space="preserve"> </w:t>
      </w:r>
      <w:r>
        <w:t xml:space="preserve">Medicine Foundation (FMF). Algoritma ini mengintegrasikan tiga kelompok</w:t>
      </w:r>
      <w:r>
        <w:t xml:space="preserve"> </w:t>
      </w:r>
      <w:r>
        <w:t xml:space="preserve">faktor: karakteristik ibu (usia, paritas, IMT, riwayat pre-eklampsia,</w:t>
      </w:r>
      <w:r>
        <w:t xml:space="preserve"> </w:t>
      </w:r>
      <w:r>
        <w:t xml:space="preserve">penyakit kronis), parameter biofisik (tekanan arteri rerata/MAP, Doppler</w:t>
      </w:r>
      <w:r>
        <w:t xml:space="preserve"> </w:t>
      </w:r>
      <w:r>
        <w:t xml:space="preserve">arteri uterina/UtA-PI), dan biomarker serum (PAPP-A, PlGF). Sensitivitas</w:t>
      </w:r>
      <w:r>
        <w:t xml:space="preserve"> </w:t>
      </w:r>
      <w:r>
        <w:t xml:space="preserve">algoritma kombinasi untuk pre-eklampsia onset awal mencapai 89-96%</w:t>
      </w:r>
      <w:r>
        <w:t xml:space="preserve"> </w:t>
      </w:r>
      <w:r>
        <w:t xml:space="preserve">dengan false positive rate 5-10%.</w:t>
      </w:r>
    </w:p>
    <w:p>
      <w:pPr>
        <w:pStyle w:val="BodyText"/>
      </w:pPr>
      <w:r>
        <w:t xml:space="preserve">Intervensi pencegahan yang terbukti efektif jika skrining trimester</w:t>
      </w:r>
      <w:r>
        <w:t xml:space="preserve"> </w:t>
      </w:r>
      <w:r>
        <w:t xml:space="preserve">pertama positif: aspirin 150 mg malam hari mulai usia gestasi 11-14</w:t>
      </w:r>
      <w:r>
        <w:t xml:space="preserve"> </w:t>
      </w:r>
      <w:r>
        <w:t xml:space="preserve">minggu hingga 36 minggu (menurunkan risiko pre-eklampsia onset awal</w:t>
      </w:r>
      <w:r>
        <w:t xml:space="preserve"> </w:t>
      </w:r>
      <w:r>
        <w:t xml:space="preserve">sebesar 62% berdasarkan studi ASPRE) dan suplementasi kalsium 1,5 g per</w:t>
      </w:r>
      <w:r>
        <w:t xml:space="preserve"> </w:t>
      </w:r>
      <w:r>
        <w:t xml:space="preserve">hari pada perempuan dengan asupan kalsium rendah (menurunkan risiko</w:t>
      </w:r>
      <w:r>
        <w:t xml:space="preserve"> </w:t>
      </w:r>
      <w:r>
        <w:t xml:space="preserve">pre-eklampsia sebesar 55% berdasarkan meta-analisis Cochrane). Investasi</w:t>
      </w:r>
      <w:r>
        <w:t xml:space="preserve"> </w:t>
      </w:r>
      <w:r>
        <w:t xml:space="preserve">dalam skrining ini sangat cost-effective: biaya skrining jauh lebih</w:t>
      </w:r>
      <w:r>
        <w:t xml:space="preserve"> </w:t>
      </w:r>
      <w:r>
        <w:t xml:space="preserve">rendah dari biaya penanganan pre-eklampsia berat beserta komplikasinya.</w:t>
      </w:r>
    </w:p>
    <w:bookmarkEnd w:id="56"/>
    <w:bookmarkStart w:id="57" w:name="skrining-diabetes-gestasional"/>
    <w:p>
      <w:pPr>
        <w:pStyle w:val="Heading3"/>
      </w:pPr>
      <w:r>
        <w:t xml:space="preserve">2.3.3 Skrining Diabetes Gestasional</w:t>
      </w:r>
    </w:p>
    <w:p>
      <w:pPr>
        <w:pStyle w:val="FirstParagraph"/>
      </w:pPr>
      <w:r>
        <w:t xml:space="preserve">Diabetes Gestasional (DMG) mempengaruhi 5-15% kehamilan di Indonesia —</w:t>
      </w:r>
      <w:r>
        <w:t xml:space="preserve"> </w:t>
      </w:r>
      <w:r>
        <w:t xml:space="preserve">dengan prevalensi yang semakin meningkat seiring epidemi obesitas dan</w:t>
      </w:r>
      <w:r>
        <w:t xml:space="preserve"> </w:t>
      </w:r>
      <w:r>
        <w:t xml:space="preserve">diabetes tipe 2. DMG yang tidak terdeteksi dan tidak ditangani</w:t>
      </w:r>
      <w:r>
        <w:t xml:space="preserve"> </w:t>
      </w:r>
      <w:r>
        <w:t xml:space="preserve">meningkatkan risiko makrosomia, distosia bahu, SC, pre-eklampsia, dan</w:t>
      </w:r>
      <w:r>
        <w:t xml:space="preserve"> </w:t>
      </w:r>
      <w:r>
        <w:t xml:space="preserve">— untuk bayi yang dilahirkan — risiko obesitas dan diabetes tipe 2</w:t>
      </w:r>
      <w:r>
        <w:t xml:space="preserve"> </w:t>
      </w:r>
      <w:r>
        <w:t xml:space="preserve">di masa dewasa. Skrining universal pada 24-28 minggu menggunakan TTGO 75</w:t>
      </w:r>
      <w:r>
        <w:t xml:space="preserve"> </w:t>
      </w:r>
      <w:r>
        <w:t xml:space="preserve">gram (puasa-1 jam-2 jam) adalah standar yang direkomendasikan WHO,</w:t>
      </w:r>
      <w:r>
        <w:t xml:space="preserve"> </w:t>
      </w:r>
      <w:r>
        <w:t xml:space="preserve">dengan diagnosis DMG jika: gula darah puasa ≥92 mg/dL, atau 1 jam ≥180</w:t>
      </w:r>
      <w:r>
        <w:t xml:space="preserve"> </w:t>
      </w:r>
      <w:r>
        <w:t xml:space="preserve">mg/dL, atau 2 jam ≥153 mg/dL (kriteria IADPSG).</w:t>
      </w:r>
    </w:p>
    <w:bookmarkEnd w:id="57"/>
    <w:bookmarkStart w:id="58" w:name="X601904f534cd185ff4c2bd987aa204ecf0cfc14"/>
    <w:p>
      <w:pPr>
        <w:pStyle w:val="Heading3"/>
      </w:pPr>
      <w:r>
        <w:t xml:space="preserve">2.3.4 Skrining Kesehatan Mental Perinatal dalam ANC</w:t>
      </w:r>
    </w:p>
    <w:p>
      <w:pPr>
        <w:pStyle w:val="FirstParagraph"/>
      </w:pPr>
      <w:r>
        <w:t xml:space="preserve">Gangguan mental perinatal — terutama depresi dan kecemasan —</w:t>
      </w:r>
      <w:r>
        <w:t xml:space="preserve"> </w:t>
      </w:r>
      <w:r>
        <w:t xml:space="preserve">mempengaruhi 1 dari 5 ibu hamil di Indonesia namun lebih dari 70% tidak</w:t>
      </w:r>
      <w:r>
        <w:t xml:space="preserve"> </w:t>
      </w:r>
      <w:r>
        <w:t xml:space="preserve">terdeteksi karena tidak ada sistem skrining yang rutin. Skrining</w:t>
      </w:r>
      <w:r>
        <w:t xml:space="preserve"> </w:t>
      </w:r>
      <w:r>
        <w:t xml:space="preserve">menggunakan Edinburgh Postnatal Depression Scale (EPDS) dalam ANC rutin</w:t>
      </w:r>
      <w:r>
        <w:t xml:space="preserve"> </w:t>
      </w:r>
      <w:r>
        <w:t xml:space="preserve">memungkinkan identifikasi dini dan intervensi sebelum kondisi berkembang</w:t>
      </w:r>
      <w:r>
        <w:t xml:space="preserve"> </w:t>
      </w:r>
      <w:r>
        <w:t xml:space="preserve">menjadi lebih berat. EPDS 10 item dengan skor ≥13 mengindikasikan</w:t>
      </w:r>
      <w:r>
        <w:t xml:space="preserve"> </w:t>
      </w:r>
      <w:r>
        <w:t xml:space="preserve">kemungkinan depresi yang memerlukan evaluasi lebih lanjut; item</w:t>
      </w:r>
      <w:r>
        <w:t xml:space="preserve"> </w:t>
      </w:r>
      <w:r>
        <w:t xml:space="preserve">pertanyaan tentang ide menyakiti diri sendiri (item 10) harus selalu</w:t>
      </w:r>
      <w:r>
        <w:t xml:space="preserve"> </w:t>
      </w:r>
      <w:r>
        <w:t xml:space="preserve">ditindaklanjuti segera apapun skor totalnya.</w:t>
      </w:r>
    </w:p>
    <w:bookmarkEnd w:id="58"/>
    <w:bookmarkEnd w:id="59"/>
    <w:bookmarkStart w:id="69" w:name="pendekatan-komunitas-dalam-anc"/>
    <w:p>
      <w:pPr>
        <w:pStyle w:val="Heading2"/>
      </w:pPr>
      <w:r>
        <w:t xml:space="preserve">2.4 Pendekatan Komunitas dalam ANC</w:t>
      </w:r>
    </w:p>
    <w:bookmarkStart w:id="61" w:name="kelas-ibu-hamil"/>
    <w:p>
      <w:pPr>
        <w:pStyle w:val="Heading3"/>
      </w:pPr>
      <w:r>
        <w:t xml:space="preserve">2.4.1 Kelas Ibu Hamil</w:t>
      </w:r>
    </w:p>
    <w:p>
      <w:pPr>
        <w:pStyle w:val="FirstParagraph"/>
      </w:pPr>
      <w:r>
        <w:t xml:space="preserve">Kelas Ibu Hamil adalah program pendidikan kesehatan kelompok yang</w:t>
      </w:r>
      <w:r>
        <w:t xml:space="preserve"> </w:t>
      </w:r>
      <w:r>
        <w:t xml:space="preserve">terbukti secara ilmiah meningkatkan pengetahuan, sikap, dan praktik</w:t>
      </w:r>
      <w:r>
        <w:t xml:space="preserve"> </w:t>
      </w:r>
      <w:r>
        <w:t xml:space="preserve">kesehatan maternal. Evaluasi program Kelas Ibu Hamil di Indonesia</w:t>
      </w:r>
      <w:r>
        <w:t xml:space="preserve"> </w:t>
      </w:r>
      <w:r>
        <w:t xml:space="preserve">menunjukkan: peningkatan pengetahuan tentang tanda bahaya kehamilan</w:t>
      </w:r>
      <w:r>
        <w:t xml:space="preserve"> </w:t>
      </w:r>
      <w:r>
        <w:t xml:space="preserve">sebesar 35-45%, peningkatan kepatuhan konsumsi tablet besi sebesar</w:t>
      </w:r>
      <w:r>
        <w:t xml:space="preserve"> </w:t>
      </w:r>
      <w:r>
        <w:t xml:space="preserve">20-30%, dan peningkatan cakupan persalinan fasilitas sebesar 15-25% di</w:t>
      </w:r>
      <w:r>
        <w:t xml:space="preserve"> </w:t>
      </w:r>
      <w:r>
        <w:t xml:space="preserve">daerah intervensi. Kelas Ibu Hamil yang efektif bukan sekadar ceramah</w:t>
      </w:r>
      <w:r>
        <w:t xml:space="preserve"> </w:t>
      </w:r>
      <w:r>
        <w:t xml:space="preserve">kesehatan — ia adalah sesi interaktif yang menggunakan pendekatan</w:t>
      </w:r>
      <w:r>
        <w:t xml:space="preserve"> </w:t>
      </w:r>
      <w:r>
        <w:t xml:space="preserve">partisipatif, menggunakan media visual (Buku KIA, flipchart, video), dan</w:t>
      </w:r>
      <w:r>
        <w:t xml:space="preserve"> </w:t>
      </w:r>
      <w:r>
        <w:t xml:space="preserve">mengintegrasikan diskusi tentang kekhawatiran dan kepercayaan lokal.</w:t>
      </w:r>
    </w:p>
    <w:bookmarkStart w:id="60" w:name="a.-kurikulum-standar-dan-adaptasi-lokal"/>
    <w:p>
      <w:pPr>
        <w:pStyle w:val="Heading4"/>
      </w:pPr>
      <w:r>
        <w:t xml:space="preserve">a. Kurikulum Standar dan Adaptasi Lokal</w:t>
      </w:r>
    </w:p>
    <w:p>
      <w:pPr>
        <w:pStyle w:val="FirstParagraph"/>
      </w:pPr>
      <w:r>
        <w:t xml:space="preserve">Kurikulum Kelas Ibu Hamil nasional mencakup empat sesi utama: (1)</w:t>
      </w:r>
      <w:r>
        <w:t xml:space="preserve"> </w:t>
      </w:r>
      <w:r>
        <w:t xml:space="preserve">Kehamilan normal dan tanda bahaya; (2) Persiapan persalinan dan KB; (3)</w:t>
      </w:r>
      <w:r>
        <w:t xml:space="preserve"> </w:t>
      </w:r>
      <w:r>
        <w:t xml:space="preserve">Perawatan bayi baru lahir dan ASI; (4) Penyakit dan gangguan kehamilan.</w:t>
      </w:r>
      <w:r>
        <w:t xml:space="preserve"> </w:t>
      </w:r>
      <w:r>
        <w:t xml:space="preserve">Setiap sesi berlangsung 2-3 jam dengan proporsi ceramah tidak lebih dari</w:t>
      </w:r>
      <w:r>
        <w:t xml:space="preserve"> </w:t>
      </w:r>
      <w:r>
        <w:t xml:space="preserve">30% dan sisanya diskusi interaktif, demonstrasi, dan praktik. Adaptasi</w:t>
      </w:r>
      <w:r>
        <w:t xml:space="preserve"> </w:t>
      </w:r>
      <w:r>
        <w:t xml:space="preserve">lokal diperlukan untuk merespons kepercayaan budaya spesifik, hambatan</w:t>
      </w:r>
      <w:r>
        <w:t xml:space="preserve"> </w:t>
      </w:r>
      <w:r>
        <w:t xml:space="preserve">bahasa, dan relevansi contoh yang digunakan.</w:t>
      </w:r>
    </w:p>
    <w:bookmarkEnd w:id="60"/>
    <w:bookmarkEnd w:id="61"/>
    <w:bookmarkStart w:id="62" w:name="peran-kader-dan-posyandu"/>
    <w:p>
      <w:pPr>
        <w:pStyle w:val="Heading3"/>
      </w:pPr>
      <w:r>
        <w:t xml:space="preserve">2.4.2 Peran Kader dan Posyandu</w:t>
      </w:r>
    </w:p>
    <w:p>
      <w:pPr>
        <w:pStyle w:val="FirstParagraph"/>
      </w:pPr>
      <w:r>
        <w:t xml:space="preserve">Kader kesehatan adalah ujung tombak sistem ANC berbasis komunitas —</w:t>
      </w:r>
      <w:r>
        <w:t xml:space="preserve"> </w:t>
      </w:r>
      <w:r>
        <w:t xml:space="preserve">mereka mengetahui setiap ibu hamil di wilayahnya, dapat melakukan</w:t>
      </w:r>
      <w:r>
        <w:t xml:space="preserve"> </w:t>
      </w:r>
      <w:r>
        <w:t xml:space="preserve">kunjungan rumah untuk ibu yang tidak datang, dan menjadi jembatan</w:t>
      </w:r>
      <w:r>
        <w:t xml:space="preserve"> </w:t>
      </w:r>
      <w:r>
        <w:t xml:space="preserve">kepercayaan antara sistem kesehatan formal dan komunitas. Optimalisasi</w:t>
      </w:r>
      <w:r>
        <w:t xml:space="preserve"> </w:t>
      </w:r>
      <w:r>
        <w:t xml:space="preserve">peran kader dalam mendukung ANC mencakup: pelatihan tentang tanda bahaya</w:t>
      </w:r>
      <w:r>
        <w:t xml:space="preserve"> </w:t>
      </w:r>
      <w:r>
        <w:t xml:space="preserve">kehamilan yang harus segera dirujuk, sistem pencatatan dan pelaporan</w:t>
      </w:r>
      <w:r>
        <w:t xml:space="preserve"> </w:t>
      </w:r>
      <w:r>
        <w:t xml:space="preserve">yang sederhana namun informatif, mekanisme koordinasi yang jelas dengan</w:t>
      </w:r>
      <w:r>
        <w:t xml:space="preserve"> </w:t>
      </w:r>
      <w:r>
        <w:t xml:space="preserve">bidan dan Puskesmas, dan — yang sering diabaikan — penghargaan dan</w:t>
      </w:r>
      <w:r>
        <w:t xml:space="preserve"> </w:t>
      </w:r>
      <w:r>
        <w:t xml:space="preserve">dukungan yang memadai untuk mempertahankan motivasi kader jangka</w:t>
      </w:r>
      <w:r>
        <w:t xml:space="preserve"> </w:t>
      </w:r>
      <w:r>
        <w:t xml:space="preserve">panjang.</w:t>
      </w:r>
    </w:p>
    <w:bookmarkEnd w:id="62"/>
    <w:bookmarkStart w:id="68" w:name="X087b3664bb7b375ceec2c0b7c7afe6e0feec8d2"/>
    <w:p>
      <w:pPr>
        <w:pStyle w:val="Heading3"/>
      </w:pPr>
      <w:r>
        <w:t xml:space="preserve">Referensi — BAB 2 — Antenatal Care: Standar, Skrining, dan Komunitas</w:t>
      </w:r>
    </w:p>
    <w:p>
      <w:pPr>
        <w:numPr>
          <w:ilvl w:val="0"/>
          <w:numId w:val="1009"/>
        </w:numPr>
      </w:pPr>
      <w:r>
        <w:t xml:space="preserve">World Health Organization. (2016). WHO Recommendations on Antenatal</w:t>
      </w:r>
      <w:r>
        <w:t xml:space="preserve"> </w:t>
      </w:r>
      <w:r>
        <w:t xml:space="preserve">Care for a Positive Pregnancy Experience. Geneva: WHO.</w:t>
      </w:r>
      <w:r>
        <w:t xml:space="preserve"> </w:t>
      </w:r>
      <w:hyperlink r:id="rId63">
        <w:r>
          <w:rPr>
            <w:rStyle w:val="Hyperlink"/>
          </w:rPr>
          <w:t xml:space="preserve">https://apps.who.int/iris/handle/10665/250796</w:t>
        </w:r>
      </w:hyperlink>
    </w:p>
    <w:p>
      <w:pPr>
        <w:numPr>
          <w:ilvl w:val="0"/>
          <w:numId w:val="1009"/>
        </w:numPr>
      </w:pPr>
      <w:r>
        <w:t xml:space="preserve">Peraturan Menteri Kesehatan No. 21 Tahun 2021 tentang Pelayanan</w:t>
      </w:r>
      <w:r>
        <w:t xml:space="preserve"> </w:t>
      </w:r>
      <w:r>
        <w:t xml:space="preserve">Kesehatan Masa Kehamilan, Persalinan, dan Nifas. Jakarta: Kemenkes</w:t>
      </w:r>
      <w:r>
        <w:t xml:space="preserve"> </w:t>
      </w:r>
      <w:r>
        <w:t xml:space="preserve">RI.</w:t>
      </w:r>
      <w:r>
        <w:t xml:space="preserve"> </w:t>
      </w:r>
      <w:hyperlink r:id="rId37">
        <w:r>
          <w:rPr>
            <w:rStyle w:val="Hyperlink"/>
          </w:rPr>
          <w:t xml:space="preserve">https://peraturan.bpk.go.id/Details/168657</w:t>
        </w:r>
      </w:hyperlink>
    </w:p>
    <w:p>
      <w:pPr>
        <w:numPr>
          <w:ilvl w:val="0"/>
          <w:numId w:val="1009"/>
        </w:numPr>
      </w:pPr>
      <w:r>
        <w:t xml:space="preserve">Dowswell T, Carroli G, Duley L, et al. (2015). Alternative versus</w:t>
      </w:r>
      <w:r>
        <w:t xml:space="preserve"> </w:t>
      </w:r>
      <w:r>
        <w:t xml:space="preserve">standard packages of antenatal care for low-risk pregnancy. Cochrane</w:t>
      </w:r>
      <w:r>
        <w:t xml:space="preserve"> </w:t>
      </w:r>
      <w:r>
        <w:t xml:space="preserve">Database of Systematic Reviews, (7):CD000934.</w:t>
      </w:r>
      <w:r>
        <w:t xml:space="preserve"> </w:t>
      </w:r>
      <w:hyperlink r:id="rId64">
        <w:r>
          <w:rPr>
            <w:rStyle w:val="Hyperlink"/>
          </w:rPr>
          <w:t xml:space="preserve">https://doi.org/10.1002/14651858.CD000934.pub3</w:t>
        </w:r>
      </w:hyperlink>
    </w:p>
    <w:p>
      <w:pPr>
        <w:numPr>
          <w:ilvl w:val="0"/>
          <w:numId w:val="1009"/>
        </w:numPr>
      </w:pPr>
      <w:r>
        <w:t xml:space="preserve">Rolnik DL, Wright D, Poon LC, et al. (2017). Aspirin versus placebo</w:t>
      </w:r>
      <w:r>
        <w:t xml:space="preserve"> </w:t>
      </w:r>
      <w:r>
        <w:t xml:space="preserve">in pregnancies at high risk for preterm preeclampsia. NEJM,</w:t>
      </w:r>
      <w:r>
        <w:t xml:space="preserve"> </w:t>
      </w:r>
      <w:r>
        <w:t xml:space="preserve">377(7):613–622.</w:t>
      </w:r>
      <w:r>
        <w:t xml:space="preserve"> </w:t>
      </w:r>
      <w:hyperlink r:id="rId65">
        <w:r>
          <w:rPr>
            <w:rStyle w:val="Hyperlink"/>
          </w:rPr>
          <w:t xml:space="preserve">https://doi.org/10.1056/NEJMoa1704559</w:t>
        </w:r>
      </w:hyperlink>
    </w:p>
    <w:p>
      <w:pPr>
        <w:numPr>
          <w:ilvl w:val="0"/>
          <w:numId w:val="1009"/>
        </w:numPr>
      </w:pPr>
      <w:r>
        <w:t xml:space="preserve">Poedji Rochjati. (2003). Skrining Antenatal pada Ibu Hamil:</w:t>
      </w:r>
      <w:r>
        <w:t xml:space="preserve"> </w:t>
      </w:r>
      <w:r>
        <w:t xml:space="preserve">Pengenalan Faktor Risiko. Surabaya: Airlangga University Press.</w:t>
      </w:r>
    </w:p>
    <w:p>
      <w:pPr>
        <w:numPr>
          <w:ilvl w:val="0"/>
          <w:numId w:val="1009"/>
        </w:numPr>
      </w:pPr>
      <w:r>
        <w:t xml:space="preserve">Prost A, Colbourn T, Seward N, et al. (2013). Women's groups</w:t>
      </w:r>
      <w:r>
        <w:t xml:space="preserve"> </w:t>
      </w:r>
      <w:r>
        <w:t xml:space="preserve">practising participatory learning and action to improve maternal and</w:t>
      </w:r>
      <w:r>
        <w:t xml:space="preserve"> </w:t>
      </w:r>
      <w:r>
        <w:t xml:space="preserve">newborn health. Lancet, 381(9879):1736–1746.</w:t>
      </w:r>
      <w:r>
        <w:t xml:space="preserve"> </w:t>
      </w:r>
      <w:hyperlink r:id="rId42">
        <w:r>
          <w:rPr>
            <w:rStyle w:val="Hyperlink"/>
          </w:rPr>
          <w:t xml:space="preserve">https://doi.org/10.1016/S0140-6736(13)60685-6</w:t>
        </w:r>
      </w:hyperlink>
    </w:p>
    <w:p>
      <w:pPr>
        <w:numPr>
          <w:ilvl w:val="0"/>
          <w:numId w:val="1009"/>
        </w:numPr>
      </w:pPr>
      <w:r>
        <w:t xml:space="preserve">World Health Organization. (2015). WHO Statement on Caesarean</w:t>
      </w:r>
      <w:r>
        <w:t xml:space="preserve"> </w:t>
      </w:r>
      <w:r>
        <w:t xml:space="preserve">Section Rates. Geneva: WHO.</w:t>
      </w:r>
      <w:r>
        <w:t xml:space="preserve"> </w:t>
      </w:r>
      <w:hyperlink r:id="rId66">
        <w:r>
          <w:rPr>
            <w:rStyle w:val="Hyperlink"/>
          </w:rPr>
          <w:t xml:space="preserve">https://apps.who.int/iris/handle/10665/161442</w:t>
        </w:r>
      </w:hyperlink>
    </w:p>
    <w:p>
      <w:pPr>
        <w:numPr>
          <w:ilvl w:val="0"/>
          <w:numId w:val="1009"/>
        </w:numPr>
      </w:pPr>
      <w:r>
        <w:t xml:space="preserve">Kementerian Kesehatan RI. (2019). Pedoman Kelas Ibu Hamil. Edisi</w:t>
      </w:r>
      <w:r>
        <w:t xml:space="preserve"> </w:t>
      </w:r>
      <w:r>
        <w:t xml:space="preserve">Revisi. Jakarta: Ditjen Bina Gizi dan KIA.</w:t>
      </w:r>
      <w:r>
        <w:t xml:space="preserve"> </w:t>
      </w:r>
      <w:hyperlink r:id="rId38">
        <w:r>
          <w:rPr>
            <w:rStyle w:val="Hyperlink"/>
          </w:rPr>
          <w:t xml:space="preserve">https://www.kemkes.go.id</w:t>
        </w:r>
      </w:hyperlink>
    </w:p>
    <w:p>
      <w:pPr>
        <w:numPr>
          <w:ilvl w:val="0"/>
          <w:numId w:val="1009"/>
        </w:numPr>
      </w:pPr>
      <w:r>
        <w:t xml:space="preserve">Bartsch E, Medcalf KE, Park AL, et al. (2016). Clinical risk factors</w:t>
      </w:r>
      <w:r>
        <w:t xml:space="preserve"> </w:t>
      </w:r>
      <w:r>
        <w:t xml:space="preserve">for pre-eclampsia determined in early pregnancy: systematic review</w:t>
      </w:r>
      <w:r>
        <w:t xml:space="preserve"> </w:t>
      </w:r>
      <w:r>
        <w:t xml:space="preserve">and meta-analysis. BMJ, 353:i1753.</w:t>
      </w:r>
      <w:r>
        <w:t xml:space="preserve"> </w:t>
      </w:r>
      <w:hyperlink r:id="rId67">
        <w:r>
          <w:rPr>
            <w:rStyle w:val="Hyperlink"/>
          </w:rPr>
          <w:t xml:space="preserve">https://doi.org/10.1136/bmj.i1753</w:t>
        </w:r>
      </w:hyperlink>
    </w:p>
    <w:p>
      <w:pPr>
        <w:numPr>
          <w:ilvl w:val="0"/>
          <w:numId w:val="1009"/>
        </w:numPr>
      </w:pPr>
      <w:r>
        <w:t xml:space="preserve">Kementerian Kesehatan RI. (2021). Pedoman Teknis Pelayanan Antenatal</w:t>
      </w:r>
      <w:r>
        <w:t xml:space="preserve"> </w:t>
      </w:r>
      <w:r>
        <w:t xml:space="preserve">Terpadu. Edisi ke-3. Jakarta: Ditjen Kesehatan Masyarakat.</w:t>
      </w:r>
      <w:r>
        <w:t xml:space="preserve"> </w:t>
      </w:r>
      <w:hyperlink r:id="rId38">
        <w:r>
          <w:rPr>
            <w:rStyle w:val="Hyperlink"/>
          </w:rPr>
          <w:t xml:space="preserve">https://www.kemkes.go.id</w:t>
        </w:r>
      </w:hyperlink>
    </w:p>
    <w:p>
      <w:pPr>
        <w:pStyle w:val="FirstParagraph"/>
      </w:pPr>
      <w:r>
        <w:rPr>
          <w:bCs/>
          <w:b/>
        </w:rPr>
        <w:t xml:space="preserve">BAB 3</w:t>
      </w:r>
    </w:p>
    <w:p>
      <w:pPr>
        <w:pStyle w:val="BodyText"/>
      </w:pPr>
      <w:r>
        <w:rPr>
          <w:bCs/>
          <w:b/>
        </w:rPr>
        <w:t xml:space="preserve">Promosi Kesehatan dan Pemberdayaan Masyarakat</w:t>
      </w:r>
    </w:p>
    <w:p>
      <w:pPr>
        <w:pStyle w:val="BodyText"/>
      </w:pPr>
      <w:r>
        <w:t xml:space="preserve"> </w:t>
      </w:r>
    </w:p>
    <w:p>
      <w:pPr>
        <w:pStyle w:val="BlockText"/>
      </w:pPr>
      <w:r>
        <w:rPr>
          <w:iCs/>
          <w:i/>
        </w:rPr>
        <w:t xml:space="preserve">Obat terbaik adalah pencegahan, dan pencegahan terbaik adalah</w:t>
      </w:r>
      <w:r>
        <w:rPr>
          <w:iCs/>
          <w:i/>
        </w:rPr>
        <w:t xml:space="preserve"> </w:t>
      </w:r>
      <w:r>
        <w:rPr>
          <w:iCs/>
          <w:i/>
        </w:rPr>
        <w:t xml:space="preserve">perempuan yang berdaya. Bab ini membuktikan bahwa teori promosi</w:t>
      </w:r>
      <w:r>
        <w:rPr>
          <w:iCs/>
          <w:i/>
        </w:rPr>
        <w:t xml:space="preserve"> </w:t>
      </w:r>
      <w:r>
        <w:rPr>
          <w:iCs/>
          <w:i/>
        </w:rPr>
        <w:t xml:space="preserve">kesehatan bukan abstraksi akademik — ia adalah alat praktis yang,</w:t>
      </w:r>
      <w:r>
        <w:rPr>
          <w:iCs/>
          <w:i/>
        </w:rPr>
        <w:t xml:space="preserve"> </w:t>
      </w:r>
      <w:r>
        <w:rPr>
          <w:iCs/>
          <w:i/>
        </w:rPr>
        <w:t xml:space="preserve">jika digunakan dengan benar, mampu mengubah perilaku jutaan perempuan</w:t>
      </w:r>
      <w:r>
        <w:rPr>
          <w:iCs/>
          <w:i/>
        </w:rPr>
        <w:t xml:space="preserve"> </w:t>
      </w:r>
      <w:r>
        <w:rPr>
          <w:iCs/>
          <w:i/>
        </w:rPr>
        <w:t xml:space="preserve">lebih efektif dari kampanye iklan manapun.</w:t>
      </w:r>
    </w:p>
    <w:p>
      <w:pPr>
        <w:pStyle w:val="FirstParagraph"/>
      </w:pPr>
      <w:r>
        <w:rPr>
          <w:bCs/>
          <w:b/>
        </w:rPr>
        <w:t xml:space="preserve">BAB 3</w:t>
      </w:r>
    </w:p>
    <w:p>
      <w:pPr>
        <w:pStyle w:val="BodyText"/>
      </w:pPr>
      <w:r>
        <w:rPr>
          <w:bCs/>
          <w:b/>
        </w:rPr>
        <w:t xml:space="preserve">PROMOSI KESEHATAN DAN PEMBERDAYAAN MASYARAKAT</w:t>
      </w:r>
    </w:p>
    <w:p>
      <w:pPr>
        <w:pStyle w:val="BodyText"/>
      </w:pPr>
      <w:r>
        <w:rPr>
          <w:iCs/>
          <w:i/>
        </w:rPr>
        <w:t xml:space="preserve">Teori, strategi, dan implementasi perubahan perilaku kesehatan maternal</w:t>
      </w:r>
      <w:r>
        <w:rPr>
          <w:iCs/>
          <w:i/>
        </w:rPr>
        <w:t xml:space="preserve"> </w:t>
      </w:r>
      <w:r>
        <w:rPr>
          <w:iCs/>
          <w:i/>
        </w:rPr>
        <w:t xml:space="preserve">berbasis komunitas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🎯 TUJUAN PEMBELAJARAN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</w:t>
            </w:r>
            <w:r>
              <w:t xml:space="preserve"> </w:t>
            </w:r>
            <w:r>
              <w:t xml:space="preserve">Menerapkan teori-teori promosi kesehatan utama dalam merancang</w:t>
            </w:r>
            <w:r>
              <w:t xml:space="preserve"> </w:t>
            </w:r>
            <w:r>
              <w:t xml:space="preserve">intervensi kesehatan maternal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</w:t>
            </w:r>
            <w:r>
              <w:t xml:space="preserve"> </w:t>
            </w:r>
            <w:r>
              <w:t xml:space="preserve">Mengembangkan strategi komunikasi risiko yang efektif dan</w:t>
            </w:r>
            <w:r>
              <w:t xml:space="preserve"> </w:t>
            </w:r>
            <w:r>
              <w:t xml:space="preserve">menghormati otonomi pasien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</w:t>
            </w:r>
            <w:r>
              <w:t xml:space="preserve"> </w:t>
            </w:r>
            <w:r>
              <w:t xml:space="preserve">Merancang program pemberdayaan perempuan berbasis komunitas yang</w:t>
            </w:r>
            <w:r>
              <w:t xml:space="preserve"> </w:t>
            </w:r>
            <w:r>
              <w:t xml:space="preserve">kontekstual dan berkelanjutan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</w:t>
            </w:r>
            <w:r>
              <w:t xml:space="preserve"> </w:t>
            </w:r>
            <w:r>
              <w:t xml:space="preserve">Mengevaluasi efektivitas program promosi kesehatan menggunakan</w:t>
            </w:r>
            <w:r>
              <w:t xml:space="preserve"> </w:t>
            </w:r>
            <w:r>
              <w:t xml:space="preserve">metode yang sesuai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</w:t>
            </w:r>
            <w:r>
              <w:t xml:space="preserve"> </w:t>
            </w:r>
            <w:r>
              <w:t xml:space="preserve">Mengintegrasikan pendekatan gender transformatif dalam program</w:t>
            </w:r>
            <w:r>
              <w:t xml:space="preserve"> </w:t>
            </w:r>
            <w:r>
              <w:t xml:space="preserve">kesehatan reproduksi</w:t>
            </w:r>
          </w:p>
        </w:tc>
      </w:tr>
    </w:tbl>
    <w:bookmarkEnd w:id="68"/>
    <w:bookmarkEnd w:id="69"/>
    <w:bookmarkStart w:id="79" w:name="teori-dan-model-promosi-kesehatan"/>
    <w:p>
      <w:pPr>
        <w:pStyle w:val="Heading2"/>
      </w:pPr>
      <w:r>
        <w:t xml:space="preserve">3.1 Teori dan Model Promosi Kesehatan</w:t>
      </w:r>
    </w:p>
    <w:p>
      <w:pPr>
        <w:pStyle w:val="FirstParagraph"/>
      </w:pPr>
      <w:r>
        <w:t xml:space="preserve">Promosi kesehatan yang efektif tidak bisa hanya bermodalkan niat baik</w:t>
      </w:r>
      <w:r>
        <w:t xml:space="preserve"> </w:t>
      </w:r>
      <w:r>
        <w:t xml:space="preserve">dan pengetahuan medis yang kuat. Ia membutuhkan pemahaman tentang</w:t>
      </w:r>
      <w:r>
        <w:t xml:space="preserve"> </w:t>
      </w:r>
      <w:r>
        <w:t xml:space="preserve">bagaimana manusia sesungguhnya berperilaku — bagaimana keyakinan,</w:t>
      </w:r>
      <w:r>
        <w:t xml:space="preserve"> </w:t>
      </w:r>
      <w:r>
        <w:t xml:space="preserve">norma sosial, lingkungan fisik, dan faktor emosional berinteraksi untuk</w:t>
      </w:r>
      <w:r>
        <w:t xml:space="preserve"> </w:t>
      </w:r>
      <w:r>
        <w:t xml:space="preserve">membentuk keputusan kesehatan yang nyata. Teori-teori promosi kesehatan</w:t>
      </w:r>
      <w:r>
        <w:t xml:space="preserve"> </w:t>
      </w:r>
      <w:r>
        <w:t xml:space="preserve">adalah peta untuk menavigasi kompleksitas perilaku manusia ini, dan</w:t>
      </w:r>
      <w:r>
        <w:t xml:space="preserve"> </w:t>
      </w:r>
      <w:r>
        <w:t xml:space="preserve">memilih strategi intervensi yang paling sesuai dengan konteks spesifik</w:t>
      </w:r>
      <w:r>
        <w:t xml:space="preserve"> </w:t>
      </w:r>
      <w:r>
        <w:t xml:space="preserve">yang dihadapi.</w:t>
      </w:r>
    </w:p>
    <w:bookmarkStart w:id="73" w:name="health-belief-model"/>
    <w:p>
      <w:pPr>
        <w:pStyle w:val="Heading3"/>
      </w:pPr>
      <w:r>
        <w:t xml:space="preserve">3.1.1 Health Belief Model</w:t>
      </w:r>
    </w:p>
    <w:p>
      <w:pPr>
        <w:pStyle w:val="FirstParagraph"/>
      </w:pPr>
      <w:r>
        <w:t xml:space="preserve">Health Belief Model (HBM) yang dikembangkan oleh Rosenstock pada 1950-an</w:t>
      </w:r>
      <w:r>
        <w:t xml:space="preserve"> </w:t>
      </w:r>
      <w:r>
        <w:t xml:space="preserve">dan terus disempurnakan hingga kini adalah salah satu teori perilaku</w:t>
      </w:r>
      <w:r>
        <w:t xml:space="preserve"> </w:t>
      </w:r>
      <w:r>
        <w:t xml:space="preserve">kesehatan yang paling banyak diaplikasikan. HBM berargumen bahwa</w:t>
      </w:r>
      <w:r>
        <w:t xml:space="preserve"> </w:t>
      </w:r>
      <w:r>
        <w:t xml:space="preserve">seseorang akan mengambil tindakan kesehatan preventif jika ia: (1)</w:t>
      </w:r>
      <w:r>
        <w:t xml:space="preserve"> </w:t>
      </w:r>
      <w:r>
        <w:t xml:space="preserve">merasa rentan terhadap kondisi kesehatan tertentu (perceived</w:t>
      </w:r>
      <w:r>
        <w:t xml:space="preserve"> </w:t>
      </w:r>
      <w:r>
        <w:t xml:space="preserve">susceptibility); (2) menilai kondisi tersebut sebagai serius (perceived</w:t>
      </w:r>
      <w:r>
        <w:t xml:space="preserve"> </w:t>
      </w:r>
      <w:r>
        <w:t xml:space="preserve">severity); (3) yakin bahwa tindakan yang tersedia akan efektif</w:t>
      </w:r>
      <w:r>
        <w:t xml:space="preserve"> </w:t>
      </w:r>
      <w:r>
        <w:t xml:space="preserve">mengurangi ancaman (perceived benefits); (4) menilai hambatan untuk</w:t>
      </w:r>
      <w:r>
        <w:t xml:space="preserve"> </w:t>
      </w:r>
      <w:r>
        <w:t xml:space="preserve">mengambil tindakan tersebut lebih kecil dari manfaatnya (perceived</w:t>
      </w:r>
      <w:r>
        <w:t xml:space="preserve"> </w:t>
      </w:r>
      <w:r>
        <w:t xml:space="preserve">barriers); (5) mendapat isyarat atau pemicu yang mendorong tindakan</w:t>
      </w:r>
      <w:r>
        <w:t xml:space="preserve"> </w:t>
      </w:r>
      <w:r>
        <w:t xml:space="preserve">(cues to action); dan (6) merasa mampu melakukan tindakan tersebut</w:t>
      </w:r>
      <w:r>
        <w:t xml:space="preserve"> </w:t>
      </w:r>
      <w:r>
        <w:t xml:space="preserve">(self-efficacy).</w:t>
      </w:r>
    </w:p>
    <w:bookmarkStart w:id="70" w:name="Xd0f5188b95cdfd4b273133351ae9d9d0fb53876"/>
    <w:p>
      <w:pPr>
        <w:pStyle w:val="Heading4"/>
      </w:pPr>
      <w:r>
        <w:t xml:space="preserve">a. Perceived Susceptibility, Severity, Benefits, dan Barriers</w:t>
      </w:r>
    </w:p>
    <w:p>
      <w:pPr>
        <w:pStyle w:val="FirstParagraph"/>
      </w:pPr>
      <w:r>
        <w:t xml:space="preserve">Dalam konteks kesehatan maternal Indonesia, kerangka HBM memiliki</w:t>
      </w:r>
      <w:r>
        <w:t xml:space="preserve"> </w:t>
      </w:r>
      <w:r>
        <w:t xml:space="preserve">aplikasi yang sangat langsung. Perceived susceptibility yang rendah</w:t>
      </w:r>
      <w:r>
        <w:t xml:space="preserve"> </w:t>
      </w:r>
      <w:r>
        <w:t xml:space="preserve">adalah hambatan utama skrining kanker serviks: banyak perempuan yang</w:t>
      </w:r>
      <w:r>
        <w:t xml:space="preserve"> </w:t>
      </w:r>
      <w:r>
        <w:t xml:space="preserve">merasa 'saya sehat, tidak mungkin kena kanker', terutama jika tidak</w:t>
      </w:r>
      <w:r>
        <w:t xml:space="preserve"> </w:t>
      </w:r>
      <w:r>
        <w:t xml:space="preserve">ada gejala. Intervensi yang efektif harus secara eksplisit meningkatkan</w:t>
      </w:r>
      <w:r>
        <w:t xml:space="preserve"> </w:t>
      </w:r>
      <w:r>
        <w:t xml:space="preserve">persepsi kerentanan — bukan dengan menakut-nakuti, tetapi dengan</w:t>
      </w:r>
      <w:r>
        <w:t xml:space="preserve"> </w:t>
      </w:r>
      <w:r>
        <w:t xml:space="preserve">menyampaikan fakta risiko secara personal dan relevan ('di Indonesia, 1</w:t>
      </w:r>
      <w:r>
        <w:t xml:space="preserve"> </w:t>
      </w:r>
      <w:r>
        <w:t xml:space="preserve">dari 36 perempuan akan terkena kanker serviks dalam hidupnya').</w:t>
      </w:r>
    </w:p>
    <w:p>
      <w:pPr>
        <w:pStyle w:val="BodyText"/>
      </w:pPr>
      <w:r>
        <w:t xml:space="preserve">Perceived barriers adalah prediktor terkuat dari ketidakpatuhan terhadap</w:t>
      </w:r>
      <w:r>
        <w:t xml:space="preserve"> </w:t>
      </w:r>
      <w:r>
        <w:t xml:space="preserve">rekomendasi kesehatan — lebih kuat dari perceived susceptibility atau</w:t>
      </w:r>
      <w:r>
        <w:t xml:space="preserve"> </w:t>
      </w:r>
      <w:r>
        <w:t xml:space="preserve">perceived benefits. Dalam konteks ANC, hambatan yang paling sering</w:t>
      </w:r>
      <w:r>
        <w:t xml:space="preserve"> </w:t>
      </w:r>
      <w:r>
        <w:t xml:space="preserve">dilaporkan: biaya transportasi, tidak ada yang menjaga anak di rumah,</w:t>
      </w:r>
      <w:r>
        <w:t xml:space="preserve"> </w:t>
      </w:r>
      <w:r>
        <w:t xml:space="preserve">jam layanan yang tidak fleksibel, rasa malu diperiksa oleh tenaga</w:t>
      </w:r>
      <w:r>
        <w:t xml:space="preserve"> </w:t>
      </w:r>
      <w:r>
        <w:t xml:space="preserve">kesehatan laki-laki, dan ketakutan akan berita buruk. Program yang</w:t>
      </w:r>
      <w:r>
        <w:t xml:space="preserve"> </w:t>
      </w:r>
      <w:r>
        <w:t xml:space="preserve">berhasil meningkatkan kepatuhan ANC hampir selalu mencakup strategi</w:t>
      </w:r>
      <w:r>
        <w:t xml:space="preserve"> </w:t>
      </w:r>
      <w:r>
        <w:t xml:space="preserve">eksplisit untuk mengurangi hambatan spesifik yang paling relevan di</w:t>
      </w:r>
      <w:r>
        <w:t xml:space="preserve"> </w:t>
      </w:r>
      <w:r>
        <w:t xml:space="preserve">komunitas target.</w:t>
      </w:r>
    </w:p>
    <w:bookmarkEnd w:id="70"/>
    <w:bookmarkStart w:id="71" w:name="X4842521c52f09aa059d2c700f79d2698a2d7ea2"/>
    <w:p>
      <w:pPr>
        <w:pStyle w:val="Heading4"/>
      </w:pPr>
      <w:r>
        <w:t xml:space="preserve">b. Cues to Action: Pemicu Keputusan Kesehatan</w:t>
      </w:r>
    </w:p>
    <w:p>
      <w:pPr>
        <w:pStyle w:val="FirstParagraph"/>
      </w:pPr>
      <w:r>
        <w:t xml:space="preserve">Cues to action adalah stimulus eksternal atau internal yang memicu</w:t>
      </w:r>
      <w:r>
        <w:t xml:space="preserve"> </w:t>
      </w:r>
      <w:r>
        <w:t xml:space="preserve">seseorang untuk bertindak setelah kondisi kognitif (persepsi risiko dan</w:t>
      </w:r>
      <w:r>
        <w:t xml:space="preserve"> </w:t>
      </w:r>
      <w:r>
        <w:t xml:space="preserve">manfaat) sudah terpenuhi. Dalam kesehatan maternal, cues to action yang</w:t>
      </w:r>
      <w:r>
        <w:t xml:space="preserve"> </w:t>
      </w:r>
      <w:r>
        <w:t xml:space="preserve">paling efektif yang terdokumentasi mencakup: pengalaman langsung teman</w:t>
      </w:r>
      <w:r>
        <w:t xml:space="preserve"> </w:t>
      </w:r>
      <w:r>
        <w:t xml:space="preserve">atau anggota keluarga dengan komplikasi ('ibu di desa sebelah meninggal</w:t>
      </w:r>
      <w:r>
        <w:t xml:space="preserve"> </w:t>
      </w:r>
      <w:r>
        <w:t xml:space="preserve">saat melahirkan di rumah'), rekomendasi dari tokoh yang dipercaya</w:t>
      </w:r>
      <w:r>
        <w:t xml:space="preserve"> </w:t>
      </w:r>
      <w:r>
        <w:t xml:space="preserve">(bidan, tokoh agama, kader), kampanye media yang menyentuh emosi, dan</w:t>
      </w:r>
      <w:r>
        <w:t xml:space="preserve"> </w:t>
      </w:r>
      <w:r>
        <w:t xml:space="preserve">sistem pengingat berbasis teknologi (SMS reminder, notifikasi aplikasi).</w:t>
      </w:r>
      <w:r>
        <w:t xml:space="preserve"> </w:t>
      </w:r>
      <w:r>
        <w:t xml:space="preserve">Desain program yang sengaja menciptakan dan mengoptimalkan cues to</w:t>
      </w:r>
      <w:r>
        <w:t xml:space="preserve"> </w:t>
      </w:r>
      <w:r>
        <w:t xml:space="preserve">action dapat secara bermakna meningkatkan uptake layanan preventif.</w:t>
      </w:r>
    </w:p>
    <w:bookmarkEnd w:id="71"/>
    <w:bookmarkStart w:id="72" w:name="X305107c3c2bd227bfbd1021343e0d564d923445"/>
    <w:p>
      <w:pPr>
        <w:pStyle w:val="Heading4"/>
      </w:pPr>
      <w:r>
        <w:t xml:space="preserve">c. Self-Efficacy dan Keyakinan Kemampuan Diri</w:t>
      </w:r>
    </w:p>
    <w:p>
      <w:pPr>
        <w:pStyle w:val="FirstParagraph"/>
      </w:pPr>
      <w:r>
        <w:t xml:space="preserve">Self-efficacy — keyakinan seseorang tentang kemampuannya untuk</w:t>
      </w:r>
      <w:r>
        <w:t xml:space="preserve"> </w:t>
      </w:r>
      <w:r>
        <w:t xml:space="preserve">berhasil melakukan tindakan tertentu — adalah komponen yang</w:t>
      </w:r>
      <w:r>
        <w:t xml:space="preserve"> </w:t>
      </w:r>
      <w:r>
        <w:t xml:space="preserve">ditambahkan Bandura ke HBM dan terbukti menjadi prediktor kuat perilaku</w:t>
      </w:r>
      <w:r>
        <w:t xml:space="preserve"> </w:t>
      </w:r>
      <w:r>
        <w:t xml:space="preserve">kesehatan. Seorang ibu yang yakin bahwa ia mampu menjalani pemeriksaan</w:t>
      </w:r>
      <w:r>
        <w:t xml:space="preserve"> </w:t>
      </w:r>
      <w:r>
        <w:t xml:space="preserve">ANC ('saya bisa menemukan waktu dan cara untuk pergi ke Puskesmas')</w:t>
      </w:r>
      <w:r>
        <w:t xml:space="preserve"> </w:t>
      </w:r>
      <w:r>
        <w:t xml:space="preserve">jauh lebih mungkin melakukannya dibandingkan ibu yang merasa tidak</w:t>
      </w:r>
      <w:r>
        <w:t xml:space="preserve"> </w:t>
      </w:r>
      <w:r>
        <w:t xml:space="preserve">berdaya meskipun mengetahui manfaatnya. Intervensi berbasis</w:t>
      </w:r>
      <w:r>
        <w:t xml:space="preserve"> </w:t>
      </w:r>
      <w:r>
        <w:t xml:space="preserve">self-efficacy mencakup: modeling oleh peer yang berhasil, pelatihan</w:t>
      </w:r>
      <w:r>
        <w:t xml:space="preserve"> </w:t>
      </w:r>
      <w:r>
        <w:t xml:space="preserve">keterampilan konkret, dan pemberian dukungan yang membangun rasa percaya</w:t>
      </w:r>
      <w:r>
        <w:t xml:space="preserve"> </w:t>
      </w:r>
      <w:r>
        <w:t xml:space="preserve">diri secara incremental.</w:t>
      </w:r>
    </w:p>
    <w:bookmarkEnd w:id="72"/>
    <w:bookmarkEnd w:id="73"/>
    <w:bookmarkStart w:id="76" w:name="social-cognitive-theory"/>
    <w:p>
      <w:pPr>
        <w:pStyle w:val="Heading3"/>
      </w:pPr>
      <w:r>
        <w:t xml:space="preserve">3.1.2 Social Cognitive Theory</w:t>
      </w:r>
    </w:p>
    <w:p>
      <w:pPr>
        <w:pStyle w:val="FirstParagraph"/>
      </w:pPr>
      <w:r>
        <w:t xml:space="preserve">Social Cognitive Theory (SCT) yang dikembangkan oleh Albert Bandura</w:t>
      </w:r>
      <w:r>
        <w:t xml:space="preserve"> </w:t>
      </w:r>
      <w:r>
        <w:t xml:space="preserve">menekankan peran interaksi dinamis antara individu, perilaku, dan</w:t>
      </w:r>
      <w:r>
        <w:t xml:space="preserve"> </w:t>
      </w:r>
      <w:r>
        <w:t xml:space="preserve">lingkungan dalam membentuk keputusan dan tindakan. Tiga mekanisme utama</w:t>
      </w:r>
      <w:r>
        <w:t xml:space="preserve"> </w:t>
      </w:r>
      <w:r>
        <w:t xml:space="preserve">SCT yang paling relevan untuk promosi kesehatan maternal: observational</w:t>
      </w:r>
      <w:r>
        <w:t xml:space="preserve"> </w:t>
      </w:r>
      <w:r>
        <w:t xml:space="preserve">learning (belajar dari mengobservasi orang lain), reciprocal determinism</w:t>
      </w:r>
      <w:r>
        <w:t xml:space="preserve"> </w:t>
      </w:r>
      <w:r>
        <w:t xml:space="preserve">(perilaku, faktor personal, dan lingkungan saling mempengaruhi), dan</w:t>
      </w:r>
      <w:r>
        <w:t xml:space="preserve"> </w:t>
      </w:r>
      <w:r>
        <w:t xml:space="preserve">self-regulation (kemampuan memantau dan mengatur perilaku sendiri</w:t>
      </w:r>
      <w:r>
        <w:t xml:space="preserve"> </w:t>
      </w:r>
      <w:r>
        <w:t xml:space="preserve">berdasarkan tujuan yang ditetapkan).</w:t>
      </w:r>
    </w:p>
    <w:bookmarkStart w:id="74" w:name="a.-observational-learning-dan-modeling"/>
    <w:p>
      <w:pPr>
        <w:pStyle w:val="Heading4"/>
      </w:pPr>
      <w:r>
        <w:t xml:space="preserve">a. Observational Learning dan Modeling</w:t>
      </w:r>
    </w:p>
    <w:p>
      <w:pPr>
        <w:pStyle w:val="FirstParagraph"/>
      </w:pPr>
      <w:r>
        <w:t xml:space="preserve">Observational learning adalah mekanisme di mana seseorang mengubah</w:t>
      </w:r>
      <w:r>
        <w:t xml:space="preserve"> </w:t>
      </w:r>
      <w:r>
        <w:t xml:space="preserve">perilakunya berdasarkan observasi terhadap perilaku orang lain dan</w:t>
      </w:r>
      <w:r>
        <w:t xml:space="preserve"> </w:t>
      </w:r>
      <w:r>
        <w:t xml:space="preserve">konsekuensinya. Dalam konteks kesehatan maternal, ini berarti bahwa</w:t>
      </w:r>
      <w:r>
        <w:t xml:space="preserve"> </w:t>
      </w:r>
      <w:r>
        <w:t xml:space="preserve">melihat ibu hamil lain di komunitas yang secara teratur menghadiri kelas</w:t>
      </w:r>
      <w:r>
        <w:t xml:space="preserve"> </w:t>
      </w:r>
      <w:r>
        <w:t xml:space="preserve">ibu hamil dan melahirkan dengan selamat adalah stimulus belajar yang</w:t>
      </w:r>
      <w:r>
        <w:t xml:space="preserve"> </w:t>
      </w:r>
      <w:r>
        <w:t xml:space="preserve">lebih powerful dari ceramah kesehatan apapun. Program berbasis peer</w:t>
      </w:r>
      <w:r>
        <w:t xml:space="preserve"> </w:t>
      </w:r>
      <w:r>
        <w:t xml:space="preserve">modeling — di mana ibu-ibu yang sudah berhasil menjalani kehamilan</w:t>
      </w:r>
      <w:r>
        <w:t xml:space="preserve"> </w:t>
      </w:r>
      <w:r>
        <w:t xml:space="preserve">yang aman menjadi role model dan advocate bagi ibu hamil yang baru —</w:t>
      </w:r>
      <w:r>
        <w:t xml:space="preserve"> </w:t>
      </w:r>
      <w:r>
        <w:t xml:space="preserve">memanfaatkan mekanisme ini secara sengaja.</w:t>
      </w:r>
    </w:p>
    <w:p>
      <w:pPr>
        <w:pStyle w:val="BodyText"/>
      </w:pPr>
      <w:r>
        <w:t xml:space="preserve">Community health workers atau kader yang dipilih dari komunitas yang</w:t>
      </w:r>
      <w:r>
        <w:t xml:space="preserve"> </w:t>
      </w:r>
      <w:r>
        <w:t xml:space="preserve">dilayaninya, yang memiliki pengalaman personal yang relevan, adalah</w:t>
      </w:r>
      <w:r>
        <w:t xml:space="preserve"> </w:t>
      </w:r>
      <w:r>
        <w:t xml:space="preserve">implementasi SCT yang terbukti efektif dalam berbagai konteks di negara</w:t>
      </w:r>
      <w:r>
        <w:t xml:space="preserve"> </w:t>
      </w:r>
      <w:r>
        <w:t xml:space="preserve">berkembang. Di Ethiopia, program community-based care group yang</w:t>
      </w:r>
      <w:r>
        <w:t xml:space="preserve"> </w:t>
      </w:r>
      <w:r>
        <w:t xml:space="preserve">menggunakan peer volunteers berhasil mengurangi kematian neonatal</w:t>
      </w:r>
      <w:r>
        <w:t xml:space="preserve"> </w:t>
      </w:r>
      <w:r>
        <w:t xml:space="preserve">sebesar 24% dalam dua tahun — sebuah dampak yang jauh melebihi</w:t>
      </w:r>
      <w:r>
        <w:t xml:space="preserve"> </w:t>
      </w:r>
      <w:r>
        <w:t xml:space="preserve">intervensi vertikal berbasis fasilitas dengan biaya yang jauh lebih</w:t>
      </w:r>
      <w:r>
        <w:t xml:space="preserve"> </w:t>
      </w:r>
      <w:r>
        <w:t xml:space="preserve">tinggi.</w:t>
      </w:r>
    </w:p>
    <w:bookmarkEnd w:id="74"/>
    <w:bookmarkStart w:id="75" w:name="X98e5245e5178c0573363346e82bd3a51bcf2279"/>
    <w:p>
      <w:pPr>
        <w:pStyle w:val="Heading4"/>
      </w:pPr>
      <w:r>
        <w:t xml:space="preserve">b. Reciprocal Determinism: Interaksi Perilaku, Lingkungan, dan Individu</w:t>
      </w:r>
    </w:p>
    <w:p>
      <w:pPr>
        <w:pStyle w:val="FirstParagraph"/>
      </w:pPr>
      <w:r>
        <w:t xml:space="preserve">Reciprocal determinism menjelaskan mengapa perubahan perilaku yang hanya</w:t>
      </w:r>
      <w:r>
        <w:t xml:space="preserve"> </w:t>
      </w:r>
      <w:r>
        <w:t xml:space="preserve">menargetkan individu sering gagal: perilaku seseorang dibentuk oleh dan</w:t>
      </w:r>
      <w:r>
        <w:t xml:space="preserve"> </w:t>
      </w:r>
      <w:r>
        <w:t xml:space="preserve">pada saat yang sama membentuk lingkungan sosial dan fisiknya. Seorang</w:t>
      </w:r>
      <w:r>
        <w:t xml:space="preserve"> </w:t>
      </w:r>
      <w:r>
        <w:t xml:space="preserve">ibu yang ingin melahirkan di fasilitas kesehatan namun hidup dalam</w:t>
      </w:r>
      <w:r>
        <w:t xml:space="preserve"> </w:t>
      </w:r>
      <w:r>
        <w:t xml:space="preserve">komunitas di mana melahirkan di rumah adalah norma, yang suaminya tidak</w:t>
      </w:r>
      <w:r>
        <w:t xml:space="preserve"> </w:t>
      </w:r>
      <w:r>
        <w:t xml:space="preserve">mendukung persalinan di fasilitas, dan yang Puskesmasnya berjarak 3 jam</w:t>
      </w:r>
      <w:r>
        <w:t xml:space="preserve"> </w:t>
      </w:r>
      <w:r>
        <w:t xml:space="preserve">perjalanan — ia menghadapi sistem hambatan yang tidak dapat diatasi</w:t>
      </w:r>
      <w:r>
        <w:t xml:space="preserve"> </w:t>
      </w:r>
      <w:r>
        <w:t xml:space="preserve">hanya dengan edukasi individual. Intervensi yang efektif harus</w:t>
      </w:r>
      <w:r>
        <w:t xml:space="preserve"> </w:t>
      </w:r>
      <w:r>
        <w:t xml:space="preserve">menargetkan semua level: individu (pengetahuan, sikap, self-efficacy),</w:t>
      </w:r>
      <w:r>
        <w:t xml:space="preserve"> </w:t>
      </w:r>
      <w:r>
        <w:t xml:space="preserve">sosial (norma komunitas, dukungan keluarga), dan lingkungan</w:t>
      </w:r>
      <w:r>
        <w:t xml:space="preserve"> </w:t>
      </w:r>
      <w:r>
        <w:t xml:space="preserve">(aksesibilitas fasilitas, transportasi).</w:t>
      </w:r>
    </w:p>
    <w:bookmarkEnd w:id="75"/>
    <w:bookmarkEnd w:id="76"/>
    <w:bookmarkStart w:id="77" w:name="health-promotion-model-pender"/>
    <w:p>
      <w:pPr>
        <w:pStyle w:val="Heading3"/>
      </w:pPr>
      <w:r>
        <w:t xml:space="preserve">3.1.3 Health Promotion Model Pender</w:t>
      </w:r>
    </w:p>
    <w:p>
      <w:pPr>
        <w:pStyle w:val="FirstParagraph"/>
      </w:pPr>
      <w:r>
        <w:t xml:space="preserve">Health Promotion Model (HPM) Pender berbeda dari HBM dalam orientasinya:</w:t>
      </w:r>
      <w:r>
        <w:t xml:space="preserve"> </w:t>
      </w:r>
      <w:r>
        <w:t xml:space="preserve">alih-alih berfokus pada pencegahan penyakit (avoidance motivation), HPM</w:t>
      </w:r>
      <w:r>
        <w:t xml:space="preserve"> </w:t>
      </w:r>
      <w:r>
        <w:t xml:space="preserve">berfokus pada motivasi positif untuk mencapai kesejahteraan optimal</w:t>
      </w:r>
      <w:r>
        <w:t xml:space="preserve"> </w:t>
      </w:r>
      <w:r>
        <w:t xml:space="preserve">(approach motivation). Ini penting dalam konteks kesehatan maternal</w:t>
      </w:r>
      <w:r>
        <w:t xml:space="preserve"> </w:t>
      </w:r>
      <w:r>
        <w:t xml:space="preserve">karena kehamilan yang sehat bukan hanya tentang menghindari komplikasi</w:t>
      </w:r>
      <w:r>
        <w:t xml:space="preserve"> </w:t>
      </w:r>
      <w:r>
        <w:t xml:space="preserve">— ini tentang mencapai pengalaman kehamilan yang positif dan bermakna.</w:t>
      </w:r>
    </w:p>
    <w:p>
      <w:pPr>
        <w:pStyle w:val="BodyText"/>
      </w:pPr>
      <w:r>
        <w:t xml:space="preserve">HPM mengidentifikasi faktor-faktor yang mempengaruhi keterlibatan dalam</w:t>
      </w:r>
      <w:r>
        <w:t xml:space="preserve"> </w:t>
      </w:r>
      <w:r>
        <w:t xml:space="preserve">perilaku yang mempromosikan kesehatan: karakteristik biologis dan</w:t>
      </w:r>
      <w:r>
        <w:t xml:space="preserve"> </w:t>
      </w:r>
      <w:r>
        <w:t xml:space="preserve">psikologis individual, pengalaman perilaku sebelumnya, kognisi dan</w:t>
      </w:r>
      <w:r>
        <w:t xml:space="preserve"> </w:t>
      </w:r>
      <w:r>
        <w:t xml:space="preserve">pengaruh spesifik terhadap perilaku tertentu (manfaat yang dirasakan,</w:t>
      </w:r>
      <w:r>
        <w:t xml:space="preserve"> </w:t>
      </w:r>
      <w:r>
        <w:t xml:space="preserve">hambatan yang dirasakan, self-efficacy), dan pengaruh interpersonal dan</w:t>
      </w:r>
      <w:r>
        <w:t xml:space="preserve"> </w:t>
      </w:r>
      <w:r>
        <w:t xml:space="preserve">situasional. Model ini sangat berguna untuk merancang program positif</w:t>
      </w:r>
      <w:r>
        <w:t xml:space="preserve"> </w:t>
      </w:r>
      <w:r>
        <w:t xml:space="preserve">seperti kelas ibu hamil yang menekankan pemberdayaan dan pengalaman</w:t>
      </w:r>
      <w:r>
        <w:t xml:space="preserve"> </w:t>
      </w:r>
      <w:r>
        <w:t xml:space="preserve">positif, bukan hanya informasi tentang risiko.</w:t>
      </w:r>
    </w:p>
    <w:bookmarkEnd w:id="77"/>
    <w:bookmarkStart w:id="78" w:name="stages-of-change-transtheoretical-model"/>
    <w:p>
      <w:pPr>
        <w:pStyle w:val="Heading3"/>
      </w:pPr>
      <w:r>
        <w:t xml:space="preserve">3.1.4 Stages of Change — Transtheoretical Model</w:t>
      </w:r>
    </w:p>
    <w:p>
      <w:pPr>
        <w:pStyle w:val="FirstParagraph"/>
      </w:pPr>
      <w:r>
        <w:t xml:space="preserve">Transtheoretical Model (TTM) yang dikembangkan oleh Prochaska dan</w:t>
      </w:r>
      <w:r>
        <w:t xml:space="preserve"> </w:t>
      </w:r>
      <w:r>
        <w:t xml:space="preserve">DiClemente memodelkan perubahan perilaku sebagai proses yang melewati</w:t>
      </w:r>
      <w:r>
        <w:t xml:space="preserve"> </w:t>
      </w:r>
      <w:r>
        <w:t xml:space="preserve">lima tahap: Precontemplation (tidak mempertimbangkan perubahan),</w:t>
      </w:r>
      <w:r>
        <w:t xml:space="preserve"> </w:t>
      </w:r>
      <w:r>
        <w:t xml:space="preserve">Contemplation (mempertimbangkan tetapi belum berkomitmen), Preparation</w:t>
      </w:r>
      <w:r>
        <w:t xml:space="preserve"> </w:t>
      </w:r>
      <w:r>
        <w:t xml:space="preserve">(berencana untuk bertindak dalam waktu dekat), Action (sudah mengubah</w:t>
      </w:r>
      <w:r>
        <w:t xml:space="preserve"> </w:t>
      </w:r>
      <w:r>
        <w:t xml:space="preserve">perilaku), dan Maintenance (mempertahankan perilaku baru).</w:t>
      </w:r>
    </w:p>
    <w:p>
      <w:pPr>
        <w:pStyle w:val="BodyText"/>
      </w:pPr>
      <w:r>
        <w:t xml:space="preserve">Relevansi TTM bagi konseling Obginsos sangat konkret: intervensi yang</w:t>
      </w:r>
      <w:r>
        <w:t xml:space="preserve"> </w:t>
      </w:r>
      <w:r>
        <w:t xml:space="preserve">efektif harus disesuaikan dengan tahap kesiapan pasien. Memberikan</w:t>
      </w:r>
      <w:r>
        <w:t xml:space="preserve"> </w:t>
      </w:r>
      <w:r>
        <w:t xml:space="preserve">panduan terperinci tentang cara melakukan skrining kanker serviks kepada</w:t>
      </w:r>
      <w:r>
        <w:t xml:space="preserve"> </w:t>
      </w:r>
      <w:r>
        <w:t xml:space="preserve">pasien yang masih di tahap Precontemplation ('saya tidak merasa</w:t>
      </w:r>
      <w:r>
        <w:t xml:space="preserve"> </w:t>
      </w:r>
      <w:r>
        <w:t xml:space="preserve">perlu') adalah sia-sia — yang dibutuhkan adalah intervensi yang</w:t>
      </w:r>
      <w:r>
        <w:t xml:space="preserve"> </w:t>
      </w:r>
      <w:r>
        <w:t xml:space="preserve">meningkatkan kesadaran tentang risiko dan relevansinya. Sebaliknya,</w:t>
      </w:r>
      <w:r>
        <w:t xml:space="preserve"> </w:t>
      </w:r>
      <w:r>
        <w:t xml:space="preserve">pasien di tahap Preparation yang sudah berniat skrining membutuhkan</w:t>
      </w:r>
      <w:r>
        <w:t xml:space="preserve"> </w:t>
      </w:r>
      <w:r>
        <w:t xml:space="preserve">fasilitasi konkret: jadwal, lokasi, prosedur yang harus dilakukan.</w:t>
      </w:r>
    </w:p>
    <w:bookmarkEnd w:id="78"/>
    <w:bookmarkEnd w:id="79"/>
    <w:bookmarkStart w:id="88" w:name="komunikasi-kesehatan-maternal"/>
    <w:p>
      <w:pPr>
        <w:pStyle w:val="Heading2"/>
      </w:pPr>
      <w:r>
        <w:t xml:space="preserve">3.2 Komunikasi Kesehatan Maternal</w:t>
      </w:r>
    </w:p>
    <w:bookmarkStart w:id="83" w:name="komunikasi-risiko-kepada-pasien"/>
    <w:p>
      <w:pPr>
        <w:pStyle w:val="Heading3"/>
      </w:pPr>
      <w:r>
        <w:t xml:space="preserve">3.2.1 Komunikasi Risiko kepada Pasien</w:t>
      </w:r>
    </w:p>
    <w:p>
      <w:pPr>
        <w:pStyle w:val="FirstParagraph"/>
      </w:pPr>
      <w:r>
        <w:t xml:space="preserve">Komunikasi risiko adalah seni dan ilmu menyampaikan informasi tentang</w:t>
      </w:r>
      <w:r>
        <w:t xml:space="preserve"> </w:t>
      </w:r>
      <w:r>
        <w:t xml:space="preserve">probabilitas bahaya, besarnya dampak, dan ketidakpastian yang terlibat</w:t>
      </w:r>
      <w:r>
        <w:t xml:space="preserve"> </w:t>
      </w:r>
      <w:r>
        <w:t xml:space="preserve">— dengan cara yang mendukung pengambilan keputusan yang terinformasi</w:t>
      </w:r>
      <w:r>
        <w:t xml:space="preserve"> </w:t>
      </w:r>
      <w:r>
        <w:t xml:space="preserve">tanpa menimbulkan kepanikan yang kontraproduktif atau false reassurance</w:t>
      </w:r>
      <w:r>
        <w:t xml:space="preserve"> </w:t>
      </w:r>
      <w:r>
        <w:t xml:space="preserve">yang berbahaya. Dalam konteks Obginsos, komunikasi risiko yang efektif</w:t>
      </w:r>
      <w:r>
        <w:t xml:space="preserve"> </w:t>
      </w:r>
      <w:r>
        <w:t xml:space="preserve">adalah kompetensi kritis: bagaimana Anda menjelaskan kepada pasien bahwa</w:t>
      </w:r>
      <w:r>
        <w:t xml:space="preserve"> </w:t>
      </w:r>
      <w:r>
        <w:t xml:space="preserve">skoring risikonya tinggi, bahwa hasil skrining HPV-nya positif, atau</w:t>
      </w:r>
      <w:r>
        <w:t xml:space="preserve"> </w:t>
      </w:r>
      <w:r>
        <w:t xml:space="preserve">bahwa kehamilan ini memiliki komplikasi yang memerlukan pemantauan ketat</w:t>
      </w:r>
      <w:r>
        <w:t xml:space="preserve"> </w:t>
      </w:r>
      <w:r>
        <w:t xml:space="preserve">— semua ini memerlukan pendekatan yang sangat berbeda namun sama</w:t>
      </w:r>
      <w:r>
        <w:t xml:space="preserve"> </w:t>
      </w:r>
      <w:r>
        <w:t xml:space="preserve">pentingnya.</w:t>
      </w:r>
    </w:p>
    <w:bookmarkStart w:id="80" w:name="a.-shared-decision-making-sdm"/>
    <w:p>
      <w:pPr>
        <w:pStyle w:val="Heading4"/>
      </w:pPr>
      <w:r>
        <w:t xml:space="preserve">a. Shared Decision Making (SDM)</w:t>
      </w:r>
    </w:p>
    <w:p>
      <w:pPr>
        <w:pStyle w:val="FirstParagraph"/>
      </w:pPr>
      <w:r>
        <w:t xml:space="preserve">Shared Decision Making (SDM) adalah model konsultasi klinis di mana</w:t>
      </w:r>
      <w:r>
        <w:t xml:space="preserve"> </w:t>
      </w:r>
      <w:r>
        <w:t xml:space="preserve">dokter dan pasien berkolaborasi secara setara dalam mengambil keputusan</w:t>
      </w:r>
      <w:r>
        <w:t xml:space="preserve"> </w:t>
      </w:r>
      <w:r>
        <w:t xml:space="preserve">medis — menggabungkan pengetahuan klinis dokter dengan nilai-nilai,</w:t>
      </w:r>
      <w:r>
        <w:t xml:space="preserve"> </w:t>
      </w:r>
      <w:r>
        <w:t xml:space="preserve">preferensi, dan konteks hidup pasien untuk mencapai keputusan yang</w:t>
      </w:r>
      <w:r>
        <w:t xml:space="preserve"> </w:t>
      </w:r>
      <w:r>
        <w:t xml:space="preserve">terbaik bagi pasien yang spesifik ini. SDM bukan sekadar 'menjelaskan</w:t>
      </w:r>
      <w:r>
        <w:t xml:space="preserve"> </w:t>
      </w:r>
      <w:r>
        <w:t xml:space="preserve">pilihan lalu membiarkan pasien memilih' — ia adalah proses dialog</w:t>
      </w:r>
      <w:r>
        <w:t xml:space="preserve"> </w:t>
      </w:r>
      <w:r>
        <w:t xml:space="preserve">yang aktif dan berulang.</w:t>
      </w:r>
    </w:p>
    <w:p>
      <w:pPr>
        <w:pStyle w:val="BodyText"/>
      </w:pPr>
      <w:r>
        <w:t xml:space="preserve">Langkah-langkah SDM dalam praktik klinis Obginsos: (1) Team talk —</w:t>
      </w:r>
      <w:r>
        <w:t xml:space="preserve"> </w:t>
      </w:r>
      <w:r>
        <w:t xml:space="preserve">memperkenalkan konsep bahwa ada pilihan dan bahwa pendapat pasien</w:t>
      </w:r>
      <w:r>
        <w:t xml:space="preserve"> </w:t>
      </w:r>
      <w:r>
        <w:t xml:space="preserve">penting; (2) Option talk — menjelaskan pilihan-pilihan yang tersedia</w:t>
      </w:r>
      <w:r>
        <w:t xml:space="preserve"> </w:t>
      </w:r>
      <w:r>
        <w:t xml:space="preserve">dengan risiko dan manfaat masing-masing; (3) Decision talk — menggali</w:t>
      </w:r>
      <w:r>
        <w:t xml:space="preserve"> </w:t>
      </w:r>
      <w:r>
        <w:t xml:space="preserve">preferensi pasien, menjawab pertanyaan, dan membantu pasien mencapai</w:t>
      </w:r>
      <w:r>
        <w:t xml:space="preserve"> </w:t>
      </w:r>
      <w:r>
        <w:t xml:space="preserve">keputusan yang konsisten dengan nilainya. Alat bantu keputusan (decision</w:t>
      </w:r>
      <w:r>
        <w:t xml:space="preserve"> </w:t>
      </w:r>
      <w:r>
        <w:t xml:space="preserve">aids) — leaflet, video, atau aplikasi yang menyajikan pilihan secara</w:t>
      </w:r>
      <w:r>
        <w:t xml:space="preserve"> </w:t>
      </w:r>
      <w:r>
        <w:t xml:space="preserve">seimbang — sangat berguna dalam mendukung SDM terutama untuk keputusan</w:t>
      </w:r>
      <w:r>
        <w:t xml:space="preserve"> </w:t>
      </w:r>
      <w:r>
        <w:t xml:space="preserve">yang kompleks seperti pemilihan metode skrining kanker atau rencana</w:t>
      </w:r>
      <w:r>
        <w:t xml:space="preserve"> </w:t>
      </w:r>
      <w:r>
        <w:t xml:space="preserve">persalinan pada ibu dengan riwayat SC.</w:t>
      </w:r>
    </w:p>
    <w:bookmarkEnd w:id="80"/>
    <w:bookmarkStart w:id="81" w:name="X36d97f8d45a16406a70cfcc7e1536031fb14831"/>
    <w:p>
      <w:pPr>
        <w:pStyle w:val="Heading4"/>
      </w:pPr>
      <w:r>
        <w:t xml:space="preserve">b. Teach-Back Method: Memastikan Pemahaman Pasien</w:t>
      </w:r>
    </w:p>
    <w:p>
      <w:pPr>
        <w:pStyle w:val="FirstParagraph"/>
      </w:pPr>
      <w:r>
        <w:t xml:space="preserve">Teach-back adalah teknik komunikasi yang sederhana namun sangat efektif</w:t>
      </w:r>
      <w:r>
        <w:t xml:space="preserve"> </w:t>
      </w:r>
      <w:r>
        <w:t xml:space="preserve">untuk memverifikasi pemahaman pasien: setelah memberikan informasi,</w:t>
      </w:r>
      <w:r>
        <w:t xml:space="preserve"> </w:t>
      </w:r>
      <w:r>
        <w:t xml:space="preserve">dokter meminta pasien untuk 'mengajarkan kembali' apa yang baru</w:t>
      </w:r>
      <w:r>
        <w:t xml:space="preserve"> </w:t>
      </w:r>
      <w:r>
        <w:t xml:space="preserve">dijelaskan dengan kata-katanya sendiri. Ini bukan tes pemahaman yang</w:t>
      </w:r>
      <w:r>
        <w:t xml:space="preserve"> </w:t>
      </w:r>
      <w:r>
        <w:t xml:space="preserve">menghakimi — melainkan cara untuk mengidentifikasi kesenjangan</w:t>
      </w:r>
      <w:r>
        <w:t xml:space="preserve"> </w:t>
      </w:r>
      <w:r>
        <w:t xml:space="preserve">pemahaman sehingga dapat segera diperbaiki sebelum pasien meninggalkan</w:t>
      </w:r>
      <w:r>
        <w:t xml:space="preserve"> </w:t>
      </w:r>
      <w:r>
        <w:t xml:space="preserve">fasilitas.</w:t>
      </w:r>
    </w:p>
    <w:p>
      <w:pPr>
        <w:pStyle w:val="BodyText"/>
      </w:pPr>
      <w:r>
        <w:t xml:space="preserve">Implementasi teach-back yang efektif: gunakan bahasa yang tidak</w:t>
      </w:r>
      <w:r>
        <w:t xml:space="preserve"> </w:t>
      </w:r>
      <w:r>
        <w:t xml:space="preserve">menghakimi ('Saya ingin memastikan saya sudah menjelaskan dengan jelas</w:t>
      </w:r>
      <w:r>
        <w:t xml:space="preserve"> </w:t>
      </w:r>
      <w:r>
        <w:t xml:space="preserve">— bisakah Ibu ceritakan kepada saya apa yang Ibu pahami tentang</w:t>
      </w:r>
      <w:r>
        <w:t xml:space="preserve"> </w:t>
      </w:r>
      <w:r>
        <w:t xml:space="preserve">tanda-tanda bahaya yang harus segera ke fasilitas?'), bukan ('Apakah</w:t>
      </w:r>
      <w:r>
        <w:t xml:space="preserve"> </w:t>
      </w:r>
      <w:r>
        <w:t xml:space="preserve">Ibu sudah mengerti?'). Dengarkan respons pasien secara aktif dan</w:t>
      </w:r>
      <w:r>
        <w:t xml:space="preserve"> </w:t>
      </w:r>
      <w:r>
        <w:t xml:space="preserve">identifikasi spesifik bagian mana yang belum dipahami. Koreksi</w:t>
      </w:r>
      <w:r>
        <w:t xml:space="preserve"> </w:t>
      </w:r>
      <w:r>
        <w:t xml:space="preserve">kesalahpahaman dengan penjelasan ulang yang berbeda, bukan pengulangan</w:t>
      </w:r>
      <w:r>
        <w:t xml:space="preserve"> </w:t>
      </w:r>
      <w:r>
        <w:t xml:space="preserve">yang sama. Ulangi proses hingga pemahaman yang akurat tercapai.</w:t>
      </w:r>
    </w:p>
    <w:bookmarkEnd w:id="81"/>
    <w:bookmarkStart w:id="82" w:name="Xf3e9fcfb384b01ec35c0d7114d6c72e75a621b2"/>
    <w:p>
      <w:pPr>
        <w:pStyle w:val="Heading4"/>
      </w:pPr>
      <w:r>
        <w:t xml:space="preserve">c. Komunikasi dengan Pasien Berlatar Budaya Beragam</w:t>
      </w:r>
    </w:p>
    <w:p>
      <w:pPr>
        <w:pStyle w:val="FirstParagraph"/>
      </w:pPr>
      <w:r>
        <w:t xml:space="preserve">Indonesia memiliki keragaman budaya yang mempengaruhi setiap aspek</w:t>
      </w:r>
      <w:r>
        <w:t xml:space="preserve"> </w:t>
      </w:r>
      <w:r>
        <w:t xml:space="preserve">komunikasi kesehatan: bahasa (lebih dari 700 bahasa daerah), cara</w:t>
      </w:r>
      <w:r>
        <w:t xml:space="preserve"> </w:t>
      </w:r>
      <w:r>
        <w:t xml:space="preserve">menyampaikan informasi yang dianggap sopan (langsung vs. tidak</w:t>
      </w:r>
      <w:r>
        <w:t xml:space="preserve"> </w:t>
      </w:r>
      <w:r>
        <w:t xml:space="preserve">langsung), peran keluarga dalam pengambilan keputusan medis, dan</w:t>
      </w:r>
      <w:r>
        <w:t xml:space="preserve"> </w:t>
      </w:r>
      <w:r>
        <w:t xml:space="preserve">persepsi tentang tubuh, kehamilan, dan penyakit yang sangat bervariasi.</w:t>
      </w:r>
      <w:r>
        <w:t xml:space="preserve"> </w:t>
      </w:r>
      <w:r>
        <w:t xml:space="preserve">Kompetensi budaya bukan tentang mengetahui semua detail budaya semua</w:t>
      </w:r>
      <w:r>
        <w:t xml:space="preserve"> </w:t>
      </w:r>
      <w:r>
        <w:t xml:space="preserve">pasien — melainkan tentang bersikap terbuka, penasaran, dan tidak</w:t>
      </w:r>
      <w:r>
        <w:t xml:space="preserve"> </w:t>
      </w:r>
      <w:r>
        <w:t xml:space="preserve">berasumsi tentang latar belakang budaya seseorang dan bagaimana hal itu</w:t>
      </w:r>
      <w:r>
        <w:t xml:space="preserve"> </w:t>
      </w:r>
      <w:r>
        <w:t xml:space="preserve">mempengaruhi kebutuhan komunikasinya.</w:t>
      </w:r>
    </w:p>
    <w:bookmarkEnd w:id="82"/>
    <w:bookmarkEnd w:id="83"/>
    <w:bookmarkStart w:id="87" w:name="Xb5b7fa8d432552abdf3e1f786d9b0f6840134ae"/>
    <w:p>
      <w:pPr>
        <w:pStyle w:val="Heading3"/>
      </w:pPr>
      <w:r>
        <w:t xml:space="preserve">3.2.2 Media Komunikasi: Konvensional dan Digital</w:t>
      </w:r>
    </w:p>
    <w:p>
      <w:pPr>
        <w:pStyle w:val="FirstParagraph"/>
      </w:pPr>
      <w:r>
        <w:t xml:space="preserve">Pilihan media komunikasi yang tepat adalah faktor determinan</w:t>
      </w:r>
      <w:r>
        <w:t xml:space="preserve"> </w:t>
      </w:r>
      <w:r>
        <w:t xml:space="preserve">keberhasilan program promosi kesehatan. Tidak ada media yang universally</w:t>
      </w:r>
      <w:r>
        <w:t xml:space="preserve"> </w:t>
      </w:r>
      <w:r>
        <w:t xml:space="preserve">superior — keefektifan media bergantung pada: karakteristik target</w:t>
      </w:r>
      <w:r>
        <w:t xml:space="preserve"> </w:t>
      </w:r>
      <w:r>
        <w:t xml:space="preserve">audiens (literasi, akses teknologi, preferensi), pesan yang ingin</w:t>
      </w:r>
      <w:r>
        <w:t xml:space="preserve"> </w:t>
      </w:r>
      <w:r>
        <w:t xml:space="preserve">disampaikan, tujuan komunikasi (meningkatkan kesadaran vs. mengubah</w:t>
      </w:r>
      <w:r>
        <w:t xml:space="preserve"> </w:t>
      </w:r>
      <w:r>
        <w:t xml:space="preserve">perilaku vs. mendukung keputusan), dan sumber daya yang tersedia.</w:t>
      </w:r>
    </w:p>
    <w:bookmarkStart w:id="84" w:name="Xcce69769e07d48e86ecb3a5b3977bfe58985beb"/>
    <w:p>
      <w:pPr>
        <w:pStyle w:val="Heading4"/>
      </w:pPr>
      <w:r>
        <w:t xml:space="preserve">a. Media Sosial sebagai Alat Promosi Kesehatan Maternal</w:t>
      </w:r>
    </w:p>
    <w:p>
      <w:pPr>
        <w:pStyle w:val="FirstParagraph"/>
      </w:pPr>
      <w:r>
        <w:t xml:space="preserve">Media sosial — khususnya WhatsApp, Instagram, TikTok, dan YouTube —</w:t>
      </w:r>
      <w:r>
        <w:t xml:space="preserve"> </w:t>
      </w:r>
      <w:r>
        <w:t xml:space="preserve">telah menjadi sumber informasi kesehatan utama bagi jutaan perempuan</w:t>
      </w:r>
      <w:r>
        <w:t xml:space="preserve"> </w:t>
      </w:r>
      <w:r>
        <w:t xml:space="preserve">Indonesia, terutama generasi milenial dan Gen-Z yang kini memasuki usia</w:t>
      </w:r>
      <w:r>
        <w:t xml:space="preserve"> </w:t>
      </w:r>
      <w:r>
        <w:t xml:space="preserve">reproduktif. Ini menciptakan peluang yang luar biasa bagi dokter</w:t>
      </w:r>
      <w:r>
        <w:t xml:space="preserve"> </w:t>
      </w:r>
      <w:r>
        <w:t xml:space="preserve">Obginsos yang bersedia memanfaatkan platform ini untuk menyebarluaskan</w:t>
      </w:r>
      <w:r>
        <w:t xml:space="preserve"> </w:t>
      </w:r>
      <w:r>
        <w:t xml:space="preserve">informasi yang akurat dan berbasis bukti — sekaligus tantangan besar</w:t>
      </w:r>
      <w:r>
        <w:t xml:space="preserve"> </w:t>
      </w:r>
      <w:r>
        <w:t xml:space="preserve">dalam bersaing dengan konten hoaks dan misinformasi yang tersebar jauh</w:t>
      </w:r>
      <w:r>
        <w:t xml:space="preserve"> </w:t>
      </w:r>
      <w:r>
        <w:t xml:space="preserve">lebih cepat.</w:t>
      </w:r>
    </w:p>
    <w:p>
      <w:pPr>
        <w:pStyle w:val="BodyText"/>
      </w:pPr>
      <w:r>
        <w:t xml:space="preserve">Prinsip-prinsip konten kesehatan maternal yang efektif di media sosial:</w:t>
      </w:r>
      <w:r>
        <w:t xml:space="preserve"> </w:t>
      </w:r>
      <w:r>
        <w:t xml:space="preserve">singkat dan visual (konten yang dapat dikonsumsi dalam 60–90 detik</w:t>
      </w:r>
      <w:r>
        <w:t xml:space="preserve"> </w:t>
      </w:r>
      <w:r>
        <w:t xml:space="preserve">mendapat engagement tertinggi), narasi personal yang dapat</w:t>
      </w:r>
      <w:r>
        <w:t xml:space="preserve"> </w:t>
      </w:r>
      <w:r>
        <w:t xml:space="preserve">diidentifikasi target audiens ('ini seperti pengalaman saya sendiri'),</w:t>
      </w:r>
      <w:r>
        <w:t xml:space="preserve"> </w:t>
      </w:r>
      <w:r>
        <w:t xml:space="preserve">call to action yang jelas dan konkret ('kunjungi Puskesmas terdekat</w:t>
      </w:r>
      <w:r>
        <w:t xml:space="preserve"> </w:t>
      </w:r>
      <w:r>
        <w:t xml:space="preserve">untuk IVA gratis hari ini'), konsisten dengan identitas visual yang</w:t>
      </w:r>
      <w:r>
        <w:t xml:space="preserve"> </w:t>
      </w:r>
      <w:r>
        <w:t xml:space="preserve">profesional namun hangat, dan responsif terhadap pertanyaan yang masuk.</w:t>
      </w:r>
    </w:p>
    <w:bookmarkEnd w:id="84"/>
    <w:bookmarkStart w:id="85" w:name="X1d27e1b645aa8c2a8ac7564848eb5337e3494b1"/>
    <w:p>
      <w:pPr>
        <w:pStyle w:val="Heading4"/>
      </w:pPr>
      <w:r>
        <w:t xml:space="preserve">b. Media Konvensional: Posyandu, Kelas Ibu, Leaflet</w:t>
      </w:r>
    </w:p>
    <w:p>
      <w:pPr>
        <w:pStyle w:val="FirstParagraph"/>
      </w:pPr>
      <w:r>
        <w:t xml:space="preserve">Meskipun media digital semakin dominan, media komunikasi konvensional</w:t>
      </w:r>
      <w:r>
        <w:t xml:space="preserve"> </w:t>
      </w:r>
      <w:r>
        <w:t xml:space="preserve">tetap irreplaceable untuk menjangkau populasi yang paling berisiko namun</w:t>
      </w:r>
      <w:r>
        <w:t xml:space="preserve"> </w:t>
      </w:r>
      <w:r>
        <w:t xml:space="preserve">paling jarang terhubung secara digital: perempuan di pedesaan terpencil,</w:t>
      </w:r>
      <w:r>
        <w:t xml:space="preserve"> </w:t>
      </w:r>
      <w:r>
        <w:t xml:space="preserve">perempuan lansia, perempuan dengan literasi rendah. Posyandu tetap</w:t>
      </w:r>
      <w:r>
        <w:t xml:space="preserve"> </w:t>
      </w:r>
      <w:r>
        <w:t xml:space="preserve">menjadi titik kontak kesehatan yang paling dipercaya di tingkat</w:t>
      </w:r>
      <w:r>
        <w:t xml:space="preserve"> </w:t>
      </w:r>
      <w:r>
        <w:t xml:space="preserve">komunitas — dan optimalisasi komunikasi kesehatan di Posyandu melalui</w:t>
      </w:r>
      <w:r>
        <w:t xml:space="preserve"> </w:t>
      </w:r>
      <w:r>
        <w:t xml:space="preserve">pendekatan yang interaktif, visual, dan berbasis komunitas memiliki</w:t>
      </w:r>
      <w:r>
        <w:t xml:space="preserve"> </w:t>
      </w:r>
      <w:r>
        <w:t xml:space="preserve">dampak yang besar.</w:t>
      </w:r>
    </w:p>
    <w:bookmarkEnd w:id="85"/>
    <w:bookmarkStart w:id="86" w:name="Xda2b7c8766c47e850b959ad4f29708abb226e12"/>
    <w:p>
      <w:pPr>
        <w:pStyle w:val="Heading4"/>
      </w:pPr>
      <w:r>
        <w:t xml:space="preserve">c. Melawan Infodemi: Strategi Komunikasi Anti-Hoaks</w:t>
      </w:r>
    </w:p>
    <w:p>
      <w:pPr>
        <w:pStyle w:val="FirstParagraph"/>
      </w:pPr>
      <w:r>
        <w:t xml:space="preserve">Indonesia menghadapi 'infodemi' kesehatan yang serius: mis- dan</w:t>
      </w:r>
      <w:r>
        <w:t xml:space="preserve"> </w:t>
      </w:r>
      <w:r>
        <w:t xml:space="preserve">dis-informasi tentang vaksin HPV, skrining kanker serviks, metode</w:t>
      </w:r>
      <w:r>
        <w:t xml:space="preserve"> </w:t>
      </w:r>
      <w:r>
        <w:t xml:space="preserve">kontrasepsi, dan berbagai aspek kesehatan maternal tersebar luas di</w:t>
      </w:r>
      <w:r>
        <w:t xml:space="preserve"> </w:t>
      </w:r>
      <w:r>
        <w:t xml:space="preserve">media sosial dan group WhatsApp. Strategi untuk menghadapi infodemi yang</w:t>
      </w:r>
      <w:r>
        <w:t xml:space="preserve"> </w:t>
      </w:r>
      <w:r>
        <w:t xml:space="preserve">terbukti efektif: prebunking (memvaksinasi audiens terhadap misinformasi</w:t>
      </w:r>
      <w:r>
        <w:t xml:space="preserve"> </w:t>
      </w:r>
      <w:r>
        <w:t xml:space="preserve">dengan menjelaskan teknik-teknik manipulasi informasi sebelum mereka</w:t>
      </w:r>
      <w:r>
        <w:t xml:space="preserve"> </w:t>
      </w:r>
      <w:r>
        <w:t xml:space="preserve">terpapar), bukan hanya debunking (meluruskan informasi yang sudah</w:t>
      </w:r>
      <w:r>
        <w:t xml:space="preserve"> </w:t>
      </w:r>
      <w:r>
        <w:t xml:space="preserve">tersebar); menggunakan format yang sama dengan konten hoaks (visual,</w:t>
      </w:r>
      <w:r>
        <w:t xml:space="preserve"> </w:t>
      </w:r>
      <w:r>
        <w:t xml:space="preserve">emosional, shareable); melibatkan trusted messengers dari komunitas; dan</w:t>
      </w:r>
      <w:r>
        <w:t xml:space="preserve"> </w:t>
      </w:r>
      <w:r>
        <w:t xml:space="preserve">memanfaatkan platform teknologi untuk deteksi dan counter-narasi hoaks</w:t>
      </w:r>
      <w:r>
        <w:t xml:space="preserve"> </w:t>
      </w:r>
      <w:r>
        <w:t xml:space="preserve">secara skala besar.</w:t>
      </w:r>
    </w:p>
    <w:bookmarkEnd w:id="86"/>
    <w:bookmarkEnd w:id="87"/>
    <w:bookmarkEnd w:id="88"/>
    <w:bookmarkStart w:id="95" w:name="pemberdayaan-perempuan-dan-komunitas"/>
    <w:p>
      <w:pPr>
        <w:pStyle w:val="Heading2"/>
      </w:pPr>
      <w:r>
        <w:t xml:space="preserve">3.3 Pemberdayaan Perempuan dan Komunitas</w:t>
      </w:r>
    </w:p>
    <w:bookmarkStart w:id="92" w:name="program-pemberdayaan-berbasis-desa"/>
    <w:p>
      <w:pPr>
        <w:pStyle w:val="Heading3"/>
      </w:pPr>
      <w:r>
        <w:t xml:space="preserve">3.3.1 Program Pemberdayaan Berbasis Desa</w:t>
      </w:r>
    </w:p>
    <w:p>
      <w:pPr>
        <w:pStyle w:val="FirstParagraph"/>
      </w:pPr>
      <w:r>
        <w:t xml:space="preserve">Pemberdayaan adalah proses meningkatkan kemampuan individu dan komunitas</w:t>
      </w:r>
      <w:r>
        <w:t xml:space="preserve"> </w:t>
      </w:r>
      <w:r>
        <w:t xml:space="preserve">untuk mengontrol faktor-faktor yang mempengaruhi kesehatan dan kualitas</w:t>
      </w:r>
      <w:r>
        <w:t xml:space="preserve"> </w:t>
      </w:r>
      <w:r>
        <w:t xml:space="preserve">hidup mereka. Ini bukan tentang 'mengajarkan' komunitas tentang</w:t>
      </w:r>
      <w:r>
        <w:t xml:space="preserve"> </w:t>
      </w:r>
      <w:r>
        <w:t xml:space="preserve">kesehatan dari luar — melainkan tentang mendukung komunitas untuk</w:t>
      </w:r>
      <w:r>
        <w:t xml:space="preserve"> </w:t>
      </w:r>
      <w:r>
        <w:t xml:space="preserve">mengidentifikasi masalahnya sendiri, mengembangkan solusinya sendiri,</w:t>
      </w:r>
      <w:r>
        <w:t xml:space="preserve"> </w:t>
      </w:r>
      <w:r>
        <w:t xml:space="preserve">dan mengambil tindakan kolektif yang sesuai dengan konteks budaya dan</w:t>
      </w:r>
      <w:r>
        <w:t xml:space="preserve"> </w:t>
      </w:r>
      <w:r>
        <w:t xml:space="preserve">sumber daya lokalnya.</w:t>
      </w:r>
    </w:p>
    <w:bookmarkStart w:id="89" w:name="X6111982ef9dd65f209e16569942a079dff54691"/>
    <w:p>
      <w:pPr>
        <w:pStyle w:val="Heading4"/>
      </w:pPr>
      <w:r>
        <w:t xml:space="preserve">a. Women's Groups dan Participatory Learning</w:t>
      </w:r>
    </w:p>
    <w:p>
      <w:pPr>
        <w:pStyle w:val="FirstParagraph"/>
      </w:pPr>
      <w:r>
        <w:t xml:space="preserve">Intervensi Women's Groups berbasis participatory learning and action</w:t>
      </w:r>
      <w:r>
        <w:t xml:space="preserve"> </w:t>
      </w:r>
      <w:r>
        <w:t xml:space="preserve">(PLA) adalah salah satu intervensi kesehatan komunitas yang paling</w:t>
      </w:r>
      <w:r>
        <w:t xml:space="preserve"> </w:t>
      </w:r>
      <w:r>
        <w:t xml:space="preserve">banyak dievaluasi secara ketat dan menunjukkan hasil yang konsisten.</w:t>
      </w:r>
      <w:r>
        <w:t xml:space="preserve"> </w:t>
      </w:r>
      <w:r>
        <w:t xml:space="preserve">Meta-analisis yang mencakup uji klinis acak di Bangladesh, India,</w:t>
      </w:r>
      <w:r>
        <w:t xml:space="preserve"> </w:t>
      </w:r>
      <w:r>
        <w:t xml:space="preserve">Malawi, dan Nepal menemukan bahwa intervensi kelompok perempuan berbasis</w:t>
      </w:r>
      <w:r>
        <w:t xml:space="preserve"> </w:t>
      </w:r>
      <w:r>
        <w:t xml:space="preserve">PLA yang mencapai cakupan ≥30% perempuan hamil di komunitas target dapat</w:t>
      </w:r>
      <w:r>
        <w:t xml:space="preserve"> </w:t>
      </w:r>
      <w:r>
        <w:t xml:space="preserve">menurunkan kematian neonatal 20–37% dan kematian ibu 33–37%. Mekanisme</w:t>
      </w:r>
      <w:r>
        <w:t xml:space="preserve"> </w:t>
      </w:r>
      <w:r>
        <w:t xml:space="preserve">yang menjelaskan efektivitas ini: peningkatan pengetahuan dan</w:t>
      </w:r>
      <w:r>
        <w:t xml:space="preserve"> </w:t>
      </w:r>
      <w:r>
        <w:t xml:space="preserve">keterampilan pengambilan keputusan, perubahan norma komunitas,</w:t>
      </w:r>
      <w:r>
        <w:t xml:space="preserve"> </w:t>
      </w:r>
      <w:r>
        <w:t xml:space="preserve">peningkatan akses dan utilisasi layanan, dan mobilisasi sumber daya</w:t>
      </w:r>
      <w:r>
        <w:t xml:space="preserve"> </w:t>
      </w:r>
      <w:r>
        <w:t xml:space="preserve">komunitas.</w:t>
      </w:r>
    </w:p>
    <w:p>
      <w:pPr>
        <w:pStyle w:val="BodyText"/>
      </w:pPr>
      <w:r>
        <w:t xml:space="preserve">Siklus PLA yang digunakan dalam program ini terdiri dari empat fase yang</w:t>
      </w:r>
      <w:r>
        <w:t xml:space="preserve"> </w:t>
      </w:r>
      <w:r>
        <w:t xml:space="preserve">berulang: (1) mengidentifikasi dan memprioritaskan masalah kesehatan</w:t>
      </w:r>
      <w:r>
        <w:t xml:space="preserve"> </w:t>
      </w:r>
      <w:r>
        <w:t xml:space="preserve">maternal lokal; (2) merancang strategi dan tindakan berbasis komunitas;</w:t>
      </w:r>
      <w:r>
        <w:t xml:space="preserve"> </w:t>
      </w:r>
      <w:r>
        <w:t xml:space="preserve">(3) mengimplementasikan tindakan yang dirancang; (4) mengevaluasi dampak</w:t>
      </w:r>
      <w:r>
        <w:t xml:space="preserve"> </w:t>
      </w:r>
      <w:r>
        <w:t xml:space="preserve">dan menyesuaikan strategi. Fasilitator kelompok — yang biasanya adalah</w:t>
      </w:r>
      <w:r>
        <w:t xml:space="preserve"> </w:t>
      </w:r>
      <w:r>
        <w:t xml:space="preserve">perempuan dari komunitas yang sama dan dilatih dalam metodologi PLA —</w:t>
      </w:r>
      <w:r>
        <w:t xml:space="preserve"> </w:t>
      </w:r>
      <w:r>
        <w:t xml:space="preserve">memainkan peran sentral.</w:t>
      </w:r>
    </w:p>
    <w:bookmarkEnd w:id="89"/>
    <w:bookmarkStart w:id="90" w:name="Xed820669d8bfff2190b99cb14ac3599b775426d"/>
    <w:p>
      <w:pPr>
        <w:pStyle w:val="Heading4"/>
      </w:pPr>
      <w:r>
        <w:t xml:space="preserve">b. Posyandu sebagai Pusat Pemberdayaan Kesehatan Maternal</w:t>
      </w:r>
    </w:p>
    <w:p>
      <w:pPr>
        <w:pStyle w:val="FirstParagraph"/>
      </w:pPr>
      <w:r>
        <w:t xml:space="preserve">Posyandu (Pos Pelayanan Terpadu) adalah institusi kesehatan komunitas</w:t>
      </w:r>
      <w:r>
        <w:t xml:space="preserve"> </w:t>
      </w:r>
      <w:r>
        <w:t xml:space="preserve">yang unik dan sangat berharga dalam sistem kesehatan Indonesia — tidak</w:t>
      </w:r>
      <w:r>
        <w:t xml:space="preserve"> </w:t>
      </w:r>
      <w:r>
        <w:t xml:space="preserve">ada padanannya di negara manapun. Dengan lebih dari 300.000 Posyandu</w:t>
      </w:r>
      <w:r>
        <w:t xml:space="preserve"> </w:t>
      </w:r>
      <w:r>
        <w:t xml:space="preserve">aktif di seluruh Indonesia dan jaringan kader yang mencapai setiap desa,</w:t>
      </w:r>
      <w:r>
        <w:t xml:space="preserve"> </w:t>
      </w:r>
      <w:r>
        <w:t xml:space="preserve">Posyandu memiliki potensi sebagai platform pemberdayaan kesehatan</w:t>
      </w:r>
      <w:r>
        <w:t xml:space="preserve"> </w:t>
      </w:r>
      <w:r>
        <w:t xml:space="preserve">maternal yang jauh melampaui fungsinya yang saat ini terbatas pada</w:t>
      </w:r>
      <w:r>
        <w:t xml:space="preserve"> </w:t>
      </w:r>
      <w:r>
        <w:t xml:space="preserve">penimbangan bayi dan imunisasi.</w:t>
      </w:r>
    </w:p>
    <w:p>
      <w:pPr>
        <w:pStyle w:val="BodyText"/>
      </w:pPr>
      <w:r>
        <w:t xml:space="preserve">Optimalisasi Posyandu sebagai platform pemberdayaan dapat mencakup:</w:t>
      </w:r>
      <w:r>
        <w:t xml:space="preserve"> </w:t>
      </w:r>
      <w:r>
        <w:t xml:space="preserve">integrasi konseling KB pasca-persalinan, skrining depresi pascapartum</w:t>
      </w:r>
      <w:r>
        <w:t xml:space="preserve"> </w:t>
      </w:r>
      <w:r>
        <w:t xml:space="preserve">menggunakan EPDS, edukasi interaktif tentang tanda bahaya kehamilan dan</w:t>
      </w:r>
      <w:r>
        <w:t xml:space="preserve"> </w:t>
      </w:r>
      <w:r>
        <w:t xml:space="preserve">nifas, konseling gizi ibu menyusui, dan — di era digital — akses ke</w:t>
      </w:r>
      <w:r>
        <w:t xml:space="preserve"> </w:t>
      </w:r>
      <w:r>
        <w:t xml:space="preserve">informasi kesehatan berbasis aplikasi. Seorang subspesialis Obginsos</w:t>
      </w:r>
      <w:r>
        <w:t xml:space="preserve"> </w:t>
      </w:r>
      <w:r>
        <w:t xml:space="preserve">dapat berkontribusi melalui pelatihan kader, pengembangan materi edukasi</w:t>
      </w:r>
      <w:r>
        <w:t xml:space="preserve"> </w:t>
      </w:r>
      <w:r>
        <w:t xml:space="preserve">yang sesuai, dan advokasi untuk revitalisasi Posyandu sebagai pusat</w:t>
      </w:r>
      <w:r>
        <w:t xml:space="preserve"> </w:t>
      </w:r>
      <w:r>
        <w:t xml:space="preserve">kesehatan ibu yang komprehensif.</w:t>
      </w:r>
    </w:p>
    <w:bookmarkEnd w:id="90"/>
    <w:bookmarkStart w:id="91" w:name="c.-peran-pkk-dan-organisasi-perempuan"/>
    <w:p>
      <w:pPr>
        <w:pStyle w:val="Heading4"/>
      </w:pPr>
      <w:r>
        <w:t xml:space="preserve">c. Peran PKK dan Organisasi Perempuan</w:t>
      </w:r>
    </w:p>
    <w:p>
      <w:pPr>
        <w:pStyle w:val="FirstParagraph"/>
      </w:pPr>
      <w:r>
        <w:t xml:space="preserve">Pemberdayaan Kesehatan Keluarga (PKK) adalah organisasi perempuan</w:t>
      </w:r>
      <w:r>
        <w:t xml:space="preserve"> </w:t>
      </w:r>
      <w:r>
        <w:t xml:space="preserve">terbesar di Indonesia dengan jaringan yang mencapai tingkat dusun.</w:t>
      </w:r>
      <w:r>
        <w:t xml:space="preserve"> </w:t>
      </w:r>
      <w:r>
        <w:t xml:space="preserve">Kolaborasi antara program kesehatan maternal dengan jaringan PKK —</w:t>
      </w:r>
      <w:r>
        <w:t xml:space="preserve"> </w:t>
      </w:r>
      <w:r>
        <w:t xml:space="preserve">termasuk pelatihan kader PKK dalam kesehatan reproduksi, integrasi</w:t>
      </w:r>
      <w:r>
        <w:t xml:space="preserve"> </w:t>
      </w:r>
      <w:r>
        <w:t xml:space="preserve">pesan-pesan kesehatan dalam pertemuan PKK rutin, dan mobilisasi PKK</w:t>
      </w:r>
      <w:r>
        <w:t xml:space="preserve"> </w:t>
      </w:r>
      <w:r>
        <w:t xml:space="preserve">untuk kampanye skrining — adalah strategi pencapaian skala yang</w:t>
      </w:r>
      <w:r>
        <w:t xml:space="preserve"> </w:t>
      </w:r>
      <w:r>
        <w:t xml:space="preserve">cost-effective dan terbukti berhasil di berbagai kabupaten yang</w:t>
      </w:r>
      <w:r>
        <w:t xml:space="preserve"> </w:t>
      </w:r>
      <w:r>
        <w:t xml:space="preserve">menerapkannya secara serius.</w:t>
      </w:r>
    </w:p>
    <w:bookmarkEnd w:id="91"/>
    <w:bookmarkEnd w:id="92"/>
    <w:bookmarkStart w:id="93" w:name="kemitraan-bidan-dukun"/>
    <w:p>
      <w:pPr>
        <w:pStyle w:val="Heading3"/>
      </w:pPr>
      <w:r>
        <w:t xml:space="preserve">3.3.2 Kemitraan Bidan-Dukun</w:t>
      </w:r>
    </w:p>
    <w:p>
      <w:pPr>
        <w:pStyle w:val="FirstParagraph"/>
      </w:pPr>
      <w:r>
        <w:t xml:space="preserve">Dukun beranak masih dipercaya oleh jutaan perempuan Indonesia, terutama</w:t>
      </w:r>
      <w:r>
        <w:t xml:space="preserve"> </w:t>
      </w:r>
      <w:r>
        <w:t xml:space="preserve">di pedesaan dan komunitas dengan ikatan budaya yang kuat. Pendekatan</w:t>
      </w:r>
      <w:r>
        <w:t xml:space="preserve"> </w:t>
      </w:r>
      <w:r>
        <w:t xml:space="preserve">konfrontatif yang menempatkan dukun sebagai 'musuh' persalinan aman</w:t>
      </w:r>
      <w:r>
        <w:t xml:space="preserve"> </w:t>
      </w:r>
      <w:r>
        <w:t xml:space="preserve">terbukti kontraproduktif — ia mendorong praktik dukun ke bawah tanah</w:t>
      </w:r>
      <w:r>
        <w:t xml:space="preserve"> </w:t>
      </w:r>
      <w:r>
        <w:t xml:space="preserve">dan mengisolasi perempuan yang masih memilih dukun dari sistem kesehatan</w:t>
      </w:r>
      <w:r>
        <w:t xml:space="preserve"> </w:t>
      </w:r>
      <w:r>
        <w:t xml:space="preserve">formal. Program kemitraan bidan-dukun yang berhasil mengintegrasikan</w:t>
      </w:r>
      <w:r>
        <w:t xml:space="preserve"> </w:t>
      </w:r>
      <w:r>
        <w:t xml:space="preserve">peran dukun sebagai pendamping sosial-budaya yang bekerja bersama bidan,</w:t>
      </w:r>
      <w:r>
        <w:t xml:space="preserve"> </w:t>
      </w:r>
      <w:r>
        <w:t xml:space="preserve">bukan bersaing.</w:t>
      </w:r>
    </w:p>
    <w:p>
      <w:pPr>
        <w:pStyle w:val="BodyText"/>
      </w:pPr>
      <w:r>
        <w:t xml:space="preserve">Model kemitraan yang efektif: dukun menerima pelatihan tentang</w:t>
      </w:r>
      <w:r>
        <w:t xml:space="preserve"> </w:t>
      </w:r>
      <w:r>
        <w:t xml:space="preserve">tanda-tanda bahaya kehamilan dan kapan harus merujuk ke bidan; dukun</w:t>
      </w:r>
      <w:r>
        <w:t xml:space="preserve"> </w:t>
      </w:r>
      <w:r>
        <w:t xml:space="preserve">berperan sebagai pendamping emosional dan budaya selama persalinan di</w:t>
      </w:r>
      <w:r>
        <w:t xml:space="preserve"> </w:t>
      </w:r>
      <w:r>
        <w:t xml:space="preserve">fasilitas; bidan menghargai dan melibatkan dukun dalam ritual-ritual</w:t>
      </w:r>
      <w:r>
        <w:t xml:space="preserve"> </w:t>
      </w:r>
      <w:r>
        <w:t xml:space="preserve">budaya yang tidak berbahaya secara medis; sistem kompensasi yang jelas</w:t>
      </w:r>
      <w:r>
        <w:t xml:space="preserve"> </w:t>
      </w:r>
      <w:r>
        <w:t xml:space="preserve">untuk peran dukun dalam sistem; dan monitoring kemitraan oleh Puskesmas.</w:t>
      </w:r>
      <w:r>
        <w:t xml:space="preserve"> </w:t>
      </w:r>
      <w:r>
        <w:t xml:space="preserve">Evaluasi program kemitraan bidan-dukun di Indonesia menunjukkan</w:t>
      </w:r>
      <w:r>
        <w:t xml:space="preserve"> </w:t>
      </w:r>
      <w:r>
        <w:t xml:space="preserve">peningkatan bermakna dalam cakupan persalinan fasilitas tanpa</w:t>
      </w:r>
      <w:r>
        <w:t xml:space="preserve"> </w:t>
      </w:r>
      <w:r>
        <w:t xml:space="preserve">mengorbankan kepercayaan komunitas terhadap dukun yang selama ini</w:t>
      </w:r>
      <w:r>
        <w:t xml:space="preserve"> </w:t>
      </w:r>
      <w:r>
        <w:t xml:space="preserve">menjadi basis kekuatan mereka.</w:t>
      </w:r>
    </w:p>
    <w:bookmarkEnd w:id="93"/>
    <w:bookmarkStart w:id="94" w:name="Xfc6e9637b502f51173e1f2091a99977d895472e"/>
    <w:p>
      <w:pPr>
        <w:pStyle w:val="Heading3"/>
      </w:pPr>
      <w:r>
        <w:t xml:space="preserve">3.3.3 Peran Laki-Laki dalam Kesehatan Reproduksi</w:t>
      </w:r>
    </w:p>
    <w:p>
      <w:pPr>
        <w:pStyle w:val="FirstParagraph"/>
      </w:pPr>
      <w:r>
        <w:t xml:space="preserve">Keterlibatan laki-laki dalam kesehatan reproduksi adalah salah satu</w:t>
      </w:r>
      <w:r>
        <w:t xml:space="preserve"> </w:t>
      </w:r>
      <w:r>
        <w:t xml:space="preserve">intervensi yang paling underutilized namun berpotensi besar. Studi</w:t>
      </w:r>
      <w:r>
        <w:t xml:space="preserve"> </w:t>
      </w:r>
      <w:r>
        <w:t xml:space="preserve">konsisten menunjukkan bahwa dukungan suami adalah prediktor independen</w:t>
      </w:r>
      <w:r>
        <w:t xml:space="preserve"> </w:t>
      </w:r>
      <w:r>
        <w:t xml:space="preserve">kuat dari: kepatuhan ANC, persalinan di fasilitas kesehatan, penggunaan</w:t>
      </w:r>
      <w:r>
        <w:t xml:space="preserve"> </w:t>
      </w:r>
      <w:r>
        <w:t xml:space="preserve">kontrasepsi, pemberian ASI eksklusif, dan pencarian pertolongan cepat</w:t>
      </w:r>
      <w:r>
        <w:t xml:space="preserve"> </w:t>
      </w:r>
      <w:r>
        <w:t xml:space="preserve">dalam situasi emergensi obstetri. Namun program-program kesehatan</w:t>
      </w:r>
      <w:r>
        <w:t xml:space="preserve"> </w:t>
      </w:r>
      <w:r>
        <w:t xml:space="preserve">maternal di Indonesia secara historis sangat berfokus pada perempuan</w:t>
      </w:r>
      <w:r>
        <w:t xml:space="preserve"> </w:t>
      </w:r>
      <w:r>
        <w:t xml:space="preserve">sebagai individu, meninggalkan laki-laki di luar lingkaran.</w:t>
      </w:r>
    </w:p>
    <w:p>
      <w:pPr>
        <w:pStyle w:val="BodyText"/>
      </w:pPr>
      <w:r>
        <w:t xml:space="preserve">Program keterlibatan laki-laki yang efektif bukan sekadar mengundang</w:t>
      </w:r>
      <w:r>
        <w:t xml:space="preserve"> </w:t>
      </w:r>
      <w:r>
        <w:t xml:space="preserve">suami ke kelas ibu hamil — ia memerlukan pendekatan yang lebih dalam:</w:t>
      </w:r>
      <w:r>
        <w:t xml:space="preserve"> </w:t>
      </w:r>
      <w:r>
        <w:t xml:space="preserve">transformasi pemahaman tentang maskulinitas yang menghargai peran</w:t>
      </w:r>
      <w:r>
        <w:t xml:space="preserve"> </w:t>
      </w:r>
      <w:r>
        <w:t xml:space="preserve">laki-laki sebagai pendukung kesehatan keluarga, edukasi tentang</w:t>
      </w:r>
      <w:r>
        <w:t xml:space="preserve"> </w:t>
      </w:r>
      <w:r>
        <w:t xml:space="preserve">kesehatan reproduksi yang menempatkan laki-laki sebagai mitra yang</w:t>
      </w:r>
      <w:r>
        <w:t xml:space="preserve"> </w:t>
      </w:r>
      <w:r>
        <w:t xml:space="preserve">bertanggung jawab, dan perubahan norma komunitas yang membuat 'suami</w:t>
      </w:r>
      <w:r>
        <w:t xml:space="preserve"> </w:t>
      </w:r>
      <w:r>
        <w:t xml:space="preserve">yang peduli kesehatan istri' menjadi identitas maskulin yang dihargai.</w:t>
      </w:r>
      <w:r>
        <w:t xml:space="preserve"> </w:t>
      </w:r>
      <w:r>
        <w:t xml:space="preserve">Bukti dari berbagai program di Afrika dan Asia Selatan menunjukkan bahwa</w:t>
      </w:r>
      <w:r>
        <w:t xml:space="preserve"> </w:t>
      </w:r>
      <w:r>
        <w:t xml:space="preserve">pendekatan semacam ini secara bermakna meningkatkan luaran kesehatan</w:t>
      </w:r>
      <w:r>
        <w:t xml:space="preserve"> </w:t>
      </w:r>
      <w:r>
        <w:t xml:space="preserve">maternal.</w:t>
      </w:r>
    </w:p>
    <w:bookmarkEnd w:id="94"/>
    <w:bookmarkEnd w:id="95"/>
    <w:bookmarkStart w:id="97" w:name="X0831307fa019e3feb75cfa8d552487145ef6d26"/>
    <w:p>
      <w:pPr>
        <w:pStyle w:val="Heading2"/>
      </w:pPr>
      <w:r>
        <w:t xml:space="preserve">3.4 Komunikasi Perubahan Sosial dan Perilaku (SBCC)</w:t>
      </w:r>
    </w:p>
    <w:p>
      <w:pPr>
        <w:pStyle w:val="FirstParagraph"/>
      </w:pPr>
      <w:r>
        <w:t xml:space="preserve">Social and Behaviour Change Communication (SBCC) adalah pendekatan</w:t>
      </w:r>
      <w:r>
        <w:t xml:space="preserve"> </w:t>
      </w:r>
      <w:r>
        <w:t xml:space="preserve">komunikasi kesehatan yang lebih strategis dari sekadar penyuluhan — ia</w:t>
      </w:r>
      <w:r>
        <w:t xml:space="preserve"> </w:t>
      </w:r>
      <w:r>
        <w:t xml:space="preserve">mengintegrasikan analisis audiens, desain pesan berbasis teori perilaku,</w:t>
      </w:r>
      <w:r>
        <w:t xml:space="preserve"> </w:t>
      </w:r>
      <w:r>
        <w:t xml:space="preserve">pemilihan saluran yang tepat, dan monitoring dampak dalam satu siklus</w:t>
      </w:r>
      <w:r>
        <w:t xml:space="preserve"> </w:t>
      </w:r>
      <w:r>
        <w:t xml:space="preserve">yang berulang dan belajar dari hasilnya. SBCC telah terbukti efektif</w:t>
      </w:r>
      <w:r>
        <w:t xml:space="preserve"> </w:t>
      </w:r>
      <w:r>
        <w:t xml:space="preserve">dalam berbagai program kesehatan global, termasuk pencegahan HIV,</w:t>
      </w:r>
      <w:r>
        <w:t xml:space="preserve"> </w:t>
      </w:r>
      <w:r>
        <w:t xml:space="preserve">promosi vaksinasi, dan peningkatan cakupan persalinan fasilitas.</w:t>
      </w:r>
    </w:p>
    <w:p>
      <w:pPr>
        <w:pStyle w:val="BodyText"/>
      </w:pPr>
      <w:r>
        <w:t xml:space="preserve">Komponen inti SBCC yang membedakannya dari pendekatan penyuluhan</w:t>
      </w:r>
      <w:r>
        <w:t xml:space="preserve"> </w:t>
      </w:r>
      <w:r>
        <w:t xml:space="preserve">konvensional: analisis mendalam tentang target audiens (bukan asumsi</w:t>
      </w:r>
      <w:r>
        <w:t xml:space="preserve"> </w:t>
      </w:r>
      <w:r>
        <w:t xml:space="preserve">tentang apa yang perlu mereka ketahui, melainkan penelitian tentang apa</w:t>
      </w:r>
      <w:r>
        <w:t xml:space="preserve"> </w:t>
      </w:r>
      <w:r>
        <w:t xml:space="preserve">yang sesungguhnya menghalangi perilaku yang diinginkan); pesan yang</w:t>
      </w:r>
      <w:r>
        <w:t xml:space="preserve"> </w:t>
      </w:r>
      <w:r>
        <w:t xml:space="preserve">dirancang untuk menjawab hambatan spesifik yang teridentifikasi (bukan</w:t>
      </w:r>
      <w:r>
        <w:t xml:space="preserve"> </w:t>
      </w:r>
      <w:r>
        <w:t xml:space="preserve">pesan generik tentang 'pentingnya ANC'); saluran yang dipilih</w:t>
      </w:r>
      <w:r>
        <w:t xml:space="preserve"> </w:t>
      </w:r>
      <w:r>
        <w:t xml:space="preserve">berdasarkan di mana audiens sesungguhnya mendapatkan informasi dan</w:t>
      </w:r>
      <w:r>
        <w:t xml:space="preserve"> </w:t>
      </w:r>
      <w:r>
        <w:t xml:space="preserve">kepercayaan mereka (bukan saluran yang paling mudah bagi pengirim</w:t>
      </w:r>
      <w:r>
        <w:t xml:space="preserve"> </w:t>
      </w:r>
      <w:r>
        <w:t xml:space="preserve">pesan); dan evaluasi berdampak yang mengukur perubahan perilaku nyata,</w:t>
      </w:r>
      <w:r>
        <w:t xml:space="preserve"> </w:t>
      </w:r>
      <w:r>
        <w:t xml:space="preserve">bukan hanya paparan terhadap pesan.</w:t>
      </w:r>
    </w:p>
    <w:bookmarkStart w:id="96" w:name="Xb2e533ebcb3121a4b6db88bdd641801fab81b12"/>
    <w:p>
      <w:pPr>
        <w:pStyle w:val="Heading3"/>
      </w:pPr>
      <w:r>
        <w:t xml:space="preserve">3.4.1 Aplikasi SBCC dalam Promosi Kesehatan Maternal</w:t>
      </w:r>
    </w:p>
    <w:p>
      <w:pPr>
        <w:pStyle w:val="FirstParagraph"/>
      </w:pPr>
      <w:r>
        <w:t xml:space="preserve">Contoh penerapan SBCC untuk meningkatkan cakupan skrining kanker</w:t>
      </w:r>
      <w:r>
        <w:t xml:space="preserve"> </w:t>
      </w:r>
      <w:r>
        <w:t xml:space="preserve">serviks: Analisis audiens mengungkap bahwa hambatan terbesar bukan</w:t>
      </w:r>
      <w:r>
        <w:t xml:space="preserve"> </w:t>
      </w:r>
      <w:r>
        <w:t xml:space="preserve">ketidaktahuan tentang kanker serviks, melainkan rasa malu terhadap</w:t>
      </w:r>
      <w:r>
        <w:t xml:space="preserve"> </w:t>
      </w:r>
      <w:r>
        <w:t xml:space="preserve">pemeriksaan genital dan keyakinan bahwa pemeriksaan tersebut 'hanya</w:t>
      </w:r>
      <w:r>
        <w:t xml:space="preserve"> </w:t>
      </w:r>
      <w:r>
        <w:t xml:space="preserve">untuk perempuan yang tidak setia' (temuan dari FGD di komunitas). Pesan</w:t>
      </w:r>
      <w:r>
        <w:t xml:space="preserve"> </w:t>
      </w:r>
      <w:r>
        <w:t xml:space="preserve">yang dirancang berdasarkan hambatan ini: 'IVA bukan pemeriksaan yang</w:t>
      </w:r>
      <w:r>
        <w:t xml:space="preserve"> </w:t>
      </w:r>
      <w:r>
        <w:t xml:space="preserve">menghakimi — ia adalah pemeriksaan yang melindungi Anda dari penyakit</w:t>
      </w:r>
      <w:r>
        <w:t xml:space="preserve"> </w:t>
      </w:r>
      <w:r>
        <w:t xml:space="preserve">yang menyerang satu dari 36 perempuan Indonesia.' Saluran yang dipilih:</w:t>
      </w:r>
      <w:r>
        <w:t xml:space="preserve"> </w:t>
      </w:r>
      <w:r>
        <w:t xml:space="preserve">tokoh agama perempuan (ustadzah, suster, pendeta perempuan) yang</w:t>
      </w:r>
      <w:r>
        <w:t xml:space="preserve"> </w:t>
      </w:r>
      <w:r>
        <w:t xml:space="preserve">dipercaya oleh komunitas untuk berbicara tentang topik-topik sensitif.</w:t>
      </w:r>
      <w:r>
        <w:t xml:space="preserve"> </w:t>
      </w:r>
      <w:r>
        <w:t xml:space="preserve">Evaluasi menunjukkan peningkatan cakupan IVA 23% dalam 6 bulan di</w:t>
      </w:r>
      <w:r>
        <w:t xml:space="preserve"> </w:t>
      </w:r>
      <w:r>
        <w:t xml:space="preserve">komunitas intervensi.</w:t>
      </w:r>
    </w:p>
    <w:bookmarkEnd w:id="96"/>
    <w:bookmarkEnd w:id="97"/>
    <w:bookmarkStart w:id="99" w:name="X4d58c10167162461273bd4dedccc1ff67a3cec7"/>
    <w:p>
      <w:pPr>
        <w:pStyle w:val="Heading2"/>
      </w:pPr>
      <w:r>
        <w:t xml:space="preserve">3.5 Pendekatan Ekuitas dalam Promosi Kesehatan</w:t>
      </w:r>
    </w:p>
    <w:p>
      <w:pPr>
        <w:pStyle w:val="FirstParagraph"/>
      </w:pPr>
      <w:r>
        <w:t xml:space="preserve">Program promosi kesehatan yang tidak mempertimbangkan ekuitas sering</w:t>
      </w:r>
      <w:r>
        <w:t xml:space="preserve"> </w:t>
      </w:r>
      <w:r>
        <w:t xml:space="preserve">kali justru memperlebar kesenjangan yang ada: perempuan berpendidikan</w:t>
      </w:r>
      <w:r>
        <w:t xml:space="preserve"> </w:t>
      </w:r>
      <w:r>
        <w:t xml:space="preserve">dan berpenhasilan lebih tinggi merespons lebih baik terhadap kampanye</w:t>
      </w:r>
      <w:r>
        <w:t xml:space="preserve"> </w:t>
      </w:r>
      <w:r>
        <w:t xml:space="preserve">media massa, menghadiri lebih banyak program edukasi, dan mengakses</w:t>
      </w:r>
      <w:r>
        <w:t xml:space="preserve"> </w:t>
      </w:r>
      <w:r>
        <w:t xml:space="preserve">layanan preventif lebih sering — sementara perempuan yang paling</w:t>
      </w:r>
      <w:r>
        <w:t xml:space="preserve"> </w:t>
      </w:r>
      <w:r>
        <w:t xml:space="preserve">membutuhkan justru paling sedikit terjangkau. Pendekatan ekuitas dalam</w:t>
      </w:r>
      <w:r>
        <w:t xml:space="preserve"> </w:t>
      </w:r>
      <w:r>
        <w:t xml:space="preserve">promosi kesehatan maternal memastikan bahwa intervensi dirancang khusus</w:t>
      </w:r>
      <w:r>
        <w:t xml:space="preserve"> </w:t>
      </w:r>
      <w:r>
        <w:t xml:space="preserve">untuk menjangkau kelompok yang biasanya tidak terjangkau: perempuan buta</w:t>
      </w:r>
      <w:r>
        <w:t xml:space="preserve"> </w:t>
      </w:r>
      <w:r>
        <w:t xml:space="preserve">huruf, perempuan yang tidak punya akses internet, perempuan yang</w:t>
      </w:r>
      <w:r>
        <w:t xml:space="preserve"> </w:t>
      </w:r>
      <w:r>
        <w:t xml:space="preserve">mobilitas sosialnya dibatasi oleh norma budaya, dan perempuan yang tidak</w:t>
      </w:r>
      <w:r>
        <w:t xml:space="preserve"> </w:t>
      </w:r>
      <w:r>
        <w:t xml:space="preserve">berbicara bahasa Indonesia sebagai bahasa pertama.</w:t>
      </w:r>
    </w:p>
    <w:bookmarkStart w:id="98" w:name="Xd47172fc067e7e31f93dd463c40cc7855fffb5e"/>
    <w:p>
      <w:pPr>
        <w:pStyle w:val="Heading3"/>
      </w:pPr>
      <w:r>
        <w:t xml:space="preserve">Referensi — BAB 3 — Promosi Kesehatan dan Pemberdayaan Komunitas</w:t>
      </w:r>
    </w:p>
    <w:p>
      <w:pPr>
        <w:numPr>
          <w:ilvl w:val="0"/>
          <w:numId w:val="1010"/>
        </w:numPr>
      </w:pPr>
      <w:r>
        <w:t xml:space="preserve">World Health Organization. (1986). Ottawa Charter for Health</w:t>
      </w:r>
      <w:r>
        <w:t xml:space="preserve"> </w:t>
      </w:r>
      <w:r>
        <w:t xml:space="preserve">Promotion. First International Conference on Health Promotion.</w:t>
      </w:r>
      <w:r>
        <w:t xml:space="preserve"> </w:t>
      </w:r>
      <w:r>
        <w:t xml:space="preserve">Geneva: WHO.</w:t>
      </w:r>
      <w:r>
        <w:t xml:space="preserve"> </w:t>
      </w:r>
      <w:r>
        <w:t xml:space="preserve">https://www.who.int/publications/i/item/ottawa-charter-for-health-promotion</w:t>
      </w:r>
    </w:p>
    <w:p>
      <w:pPr>
        <w:numPr>
          <w:ilvl w:val="0"/>
          <w:numId w:val="1010"/>
        </w:numPr>
      </w:pPr>
      <w:r>
        <w:t xml:space="preserve">Prost A, Colbourn T, Seward N, et al. (2013). Women's groups</w:t>
      </w:r>
      <w:r>
        <w:t xml:space="preserve"> </w:t>
      </w:r>
      <w:r>
        <w:t xml:space="preserve">practising participatory learning and action to improve maternal and</w:t>
      </w:r>
      <w:r>
        <w:t xml:space="preserve"> </w:t>
      </w:r>
      <w:r>
        <w:t xml:space="preserve">newborn health. Lancet, 381(9879):1736–1746.</w:t>
      </w:r>
      <w:r>
        <w:t xml:space="preserve"> </w:t>
      </w:r>
      <w:r>
        <w:t xml:space="preserve">https://doi.org/10.1016/S0140-6736(13)60685-6</w:t>
      </w:r>
    </w:p>
    <w:p>
      <w:pPr>
        <w:numPr>
          <w:ilvl w:val="0"/>
          <w:numId w:val="1010"/>
        </w:numPr>
      </w:pPr>
      <w:r>
        <w:t xml:space="preserve">Glanz K, Rimer BK, Viswanath K (eds). (2015). Health Behavior:</w:t>
      </w:r>
      <w:r>
        <w:t xml:space="preserve"> </w:t>
      </w:r>
      <w:r>
        <w:t xml:space="preserve">Theory, Research, and Practice. 5th ed. San Francisco: Jossey-Bass.</w:t>
      </w:r>
    </w:p>
    <w:p>
      <w:pPr>
        <w:numPr>
          <w:ilvl w:val="0"/>
          <w:numId w:val="1010"/>
        </w:numPr>
      </w:pPr>
      <w:r>
        <w:t xml:space="preserve">Prochaska JO, DiClemente CC. (1983). Stages and processes of</w:t>
      </w:r>
      <w:r>
        <w:t xml:space="preserve"> </w:t>
      </w:r>
      <w:r>
        <w:t xml:space="preserve">self-change of smoking: toward an integrative model of change.</w:t>
      </w:r>
      <w:r>
        <w:t xml:space="preserve"> </w:t>
      </w:r>
      <w:r>
        <w:t xml:space="preserve">Journal of Consulting and Clinical Psychology, 51(3):390–395.</w:t>
      </w:r>
      <w:r>
        <w:t xml:space="preserve"> </w:t>
      </w:r>
      <w:r>
        <w:t xml:space="preserve">https://doi.org/10.1037/0022-006X.51.3.390</w:t>
      </w:r>
    </w:p>
    <w:p>
      <w:pPr>
        <w:numPr>
          <w:ilvl w:val="0"/>
          <w:numId w:val="1010"/>
        </w:numPr>
      </w:pPr>
      <w:r>
        <w:t xml:space="preserve">Bandura A. (1977). Self-efficacy: toward a unifying theory of</w:t>
      </w:r>
      <w:r>
        <w:t xml:space="preserve"> </w:t>
      </w:r>
      <w:r>
        <w:t xml:space="preserve">behavioral change. Psychological Review, 84(2):191–215.</w:t>
      </w:r>
      <w:r>
        <w:t xml:space="preserve"> </w:t>
      </w:r>
      <w:r>
        <w:t xml:space="preserve">https://doi.org/10.1037/0033-295X.84.2.191</w:t>
      </w:r>
    </w:p>
    <w:p>
      <w:pPr>
        <w:numPr>
          <w:ilvl w:val="0"/>
          <w:numId w:val="1010"/>
        </w:numPr>
      </w:pPr>
      <w:r>
        <w:t xml:space="preserve">Nutbeam D. (2000). Health literacy as a public health goal: a</w:t>
      </w:r>
      <w:r>
        <w:t xml:space="preserve"> </w:t>
      </w:r>
      <w:r>
        <w:t xml:space="preserve">challenge for contemporary health education and communication</w:t>
      </w:r>
      <w:r>
        <w:t xml:space="preserve"> </w:t>
      </w:r>
      <w:r>
        <w:t xml:space="preserve">strategies. Health Promotion International, 15(3):259–267.</w:t>
      </w:r>
      <w:r>
        <w:t xml:space="preserve"> </w:t>
      </w:r>
      <w:r>
        <w:t xml:space="preserve">https://doi.org/10.1093/heapro/15.3.259</w:t>
      </w:r>
    </w:p>
    <w:p>
      <w:pPr>
        <w:numPr>
          <w:ilvl w:val="0"/>
          <w:numId w:val="1010"/>
        </w:numPr>
      </w:pPr>
      <w:r>
        <w:t xml:space="preserve">Kementerian Kesehatan RI. (2021). Pedoman Umum Promosi Kesehatan di</w:t>
      </w:r>
      <w:r>
        <w:t xml:space="preserve"> </w:t>
      </w:r>
      <w:r>
        <w:t xml:space="preserve">Fasilitas Pelayanan Kesehatan. Jakarta: Kemenkes RI.</w:t>
      </w:r>
      <w:r>
        <w:t xml:space="preserve"> </w:t>
      </w:r>
      <w:r>
        <w:t xml:space="preserve">https://www.kemkes.go.id</w:t>
      </w:r>
    </w:p>
    <w:p>
      <w:pPr>
        <w:numPr>
          <w:ilvl w:val="0"/>
          <w:numId w:val="1010"/>
        </w:numPr>
      </w:pPr>
      <w:r>
        <w:t xml:space="preserve">World Health Organization. (2019). Health Promotion. Fact Sheet.</w:t>
      </w:r>
      <w:r>
        <w:t xml:space="preserve"> </w:t>
      </w:r>
      <w:r>
        <w:t xml:space="preserve">Geneva: WHO.</w:t>
      </w:r>
      <w:r>
        <w:t xml:space="preserve"> </w:t>
      </w:r>
      <w:r>
        <w:t xml:space="preserve">https://www.who.int/news-room/fact-sheets/detail/health-promotion</w:t>
      </w:r>
    </w:p>
    <w:p>
      <w:pPr>
        <w:numPr>
          <w:ilvl w:val="0"/>
          <w:numId w:val="1010"/>
        </w:numPr>
      </w:pPr>
      <w:r>
        <w:t xml:space="preserve">Freire P. (1970). Pedagogy of the Oppressed. New York: Herder and</w:t>
      </w:r>
      <w:r>
        <w:t xml:space="preserve"> </w:t>
      </w:r>
      <w:r>
        <w:t xml:space="preserve">Herder.</w:t>
      </w:r>
    </w:p>
    <w:p>
      <w:pPr>
        <w:numPr>
          <w:ilvl w:val="0"/>
          <w:numId w:val="1010"/>
        </w:numPr>
      </w:pPr>
      <w:r>
        <w:t xml:space="preserve">Nutbeam D, Kickbusch I. (1998). Health promotion glossary. Health</w:t>
      </w:r>
      <w:r>
        <w:t xml:space="preserve"> </w:t>
      </w:r>
      <w:r>
        <w:t xml:space="preserve">Promotion International, 13(4):349–364.</w:t>
      </w:r>
      <w:r>
        <w:t xml:space="preserve"> </w:t>
      </w:r>
      <w:r>
        <w:t xml:space="preserve">https://doi.org/10.1093/heapro/13.4.349</w:t>
      </w:r>
    </w:p>
    <w:p>
      <w:pPr>
        <w:pStyle w:val="FirstParagraph"/>
      </w:pPr>
      <w:r>
        <w:rPr>
          <w:bCs/>
          <w:b/>
        </w:rPr>
        <w:t xml:space="preserve">BAB 4</w:t>
      </w:r>
    </w:p>
    <w:p>
      <w:pPr>
        <w:pStyle w:val="BodyText"/>
      </w:pPr>
      <w:r>
        <w:rPr>
          <w:bCs/>
          <w:b/>
        </w:rPr>
        <w:t xml:space="preserve">KESEHATAN MATERNAL PADA POPULASI RENTAN</w:t>
      </w:r>
    </w:p>
    <w:p>
      <w:pPr>
        <w:pStyle w:val="BodyText"/>
      </w:pPr>
      <w:r>
        <w:rPr>
          <w:iCs/>
          <w:i/>
        </w:rPr>
        <w:t xml:space="preserve">Layanan yang responsif untuk perempuan miskin, migran, disabilitas, dan</w:t>
      </w:r>
      <w:r>
        <w:rPr>
          <w:iCs/>
          <w:i/>
        </w:rPr>
        <w:t xml:space="preserve"> </w:t>
      </w:r>
      <w:r>
        <w:rPr>
          <w:iCs/>
          <w:i/>
        </w:rPr>
        <w:t xml:space="preserve">dalam situasi bencana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🎯 TUJUAN PEMBELAJARAN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</w:t>
            </w:r>
            <w:r>
              <w:t xml:space="preserve"> </w:t>
            </w:r>
            <w:r>
              <w:t xml:space="preserve">Mengidentifikasi kebutuhan khusus kelompok-kelompok populasi</w:t>
            </w:r>
            <w:r>
              <w:t xml:space="preserve"> </w:t>
            </w:r>
            <w:r>
              <w:t xml:space="preserve">rentan dalam konteks kesehatan maternal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</w:t>
            </w:r>
            <w:r>
              <w:t xml:space="preserve"> </w:t>
            </w:r>
            <w:r>
              <w:t xml:space="preserve">Memodifikasi layanan ANC dan persalinan untuk perempuan dengan</w:t>
            </w:r>
            <w:r>
              <w:t xml:space="preserve"> </w:t>
            </w:r>
            <w:r>
              <w:t xml:space="preserve">disabilitas fisik dan sensorik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</w:t>
            </w:r>
            <w:r>
              <w:t xml:space="preserve"> </w:t>
            </w:r>
            <w:r>
              <w:t xml:space="preserve">Mengimplementasikan komponen MISP dalam situasi bencana dan</w:t>
            </w:r>
            <w:r>
              <w:t xml:space="preserve"> </w:t>
            </w:r>
            <w:r>
              <w:t xml:space="preserve">kedaruratan kemanusiaan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</w:t>
            </w:r>
            <w:r>
              <w:t xml:space="preserve"> </w:t>
            </w:r>
            <w:r>
              <w:t xml:space="preserve">Merancang program layanan kesehatan maternal yang berprinsip</w:t>
            </w:r>
            <w:r>
              <w:t xml:space="preserve"> </w:t>
            </w:r>
            <w:r>
              <w:t xml:space="preserve">ekuitas untuk populasi yang paling terpinggirkan</w:t>
            </w:r>
          </w:p>
        </w:tc>
      </w:tr>
    </w:tbl>
    <w:bookmarkEnd w:id="98"/>
    <w:bookmarkEnd w:id="99"/>
    <w:bookmarkStart w:id="102" w:name="kesehatan-maternal-pada-perempuan-miskin"/>
    <w:p>
      <w:pPr>
        <w:pStyle w:val="Heading2"/>
      </w:pPr>
      <w:r>
        <w:t xml:space="preserve">4.1 Kesehatan Maternal pada Perempuan Miskin</w:t>
      </w:r>
    </w:p>
    <w:bookmarkStart w:id="100" w:name="Xf616ea5ac4d18cfacb586a4926aed721ff7e305"/>
    <w:p>
      <w:pPr>
        <w:pStyle w:val="Heading4"/>
      </w:pPr>
      <w:r>
        <w:t xml:space="preserve">a. Profil Kemiskinan Multidimensi dan Dampak pada Kesehatan Maternal</w:t>
      </w:r>
    </w:p>
    <w:p>
      <w:pPr>
        <w:pStyle w:val="FirstParagraph"/>
      </w:pPr>
      <w:r>
        <w:t xml:space="preserve">Kemiskinan multidimensi — yang mengukur kekurangan simultan dalam</w:t>
      </w:r>
      <w:r>
        <w:t xml:space="preserve"> </w:t>
      </w:r>
      <w:r>
        <w:t xml:space="preserve">dimensi kesehatan, pendidikan, dan standar hidup — memiliki hubungan</w:t>
      </w:r>
      <w:r>
        <w:t xml:space="preserve"> </w:t>
      </w:r>
      <w:r>
        <w:t xml:space="preserve">kausal yang kuat dengan mortalitas maternal. Di Indonesia, 15,5%</w:t>
      </w:r>
      <w:r>
        <w:t xml:space="preserve"> </w:t>
      </w:r>
      <w:r>
        <w:t xml:space="preserve">penduduk mengalami kemiskinan multidimensi, dan perempuan miskin</w:t>
      </w:r>
      <w:r>
        <w:t xml:space="preserve"> </w:t>
      </w:r>
      <w:r>
        <w:t xml:space="preserve">multidimensi menghadapi risiko kematian maternal yang 3–5 kali lebih</w:t>
      </w:r>
      <w:r>
        <w:t xml:space="preserve"> </w:t>
      </w:r>
      <w:r>
        <w:t xml:space="preserve">tinggi dari rata-rata nasional. Intervensi yang efektif tidak dapat</w:t>
      </w:r>
      <w:r>
        <w:t xml:space="preserve"> </w:t>
      </w:r>
      <w:r>
        <w:t xml:space="preserve">hanya berfokus pada layanan kesehatan — ia harus mengatasi</w:t>
      </w:r>
      <w:r>
        <w:t xml:space="preserve"> </w:t>
      </w:r>
      <w:r>
        <w:t xml:space="preserve">dimensi-dimensi kemiskinan yang mendasarinya secara bersamaan.</w:t>
      </w:r>
    </w:p>
    <w:p>
      <w:pPr>
        <w:pStyle w:val="BodyText"/>
      </w:pPr>
      <w:r>
        <w:t xml:space="preserve">Program conditional cash transfer seperti Program Keluarga Harapan (PKH)</w:t>
      </w:r>
      <w:r>
        <w:t xml:space="preserve"> </w:t>
      </w:r>
      <w:r>
        <w:t xml:space="preserve">yang mensyaratkan penggunaan layanan ANC dan persalinan fasilitas</w:t>
      </w:r>
      <w:r>
        <w:t xml:space="preserve"> </w:t>
      </w:r>
      <w:r>
        <w:t xml:space="preserve">sebagai kondisi untuk menerima bantuan tunai terbukti efektif</w:t>
      </w:r>
      <w:r>
        <w:t xml:space="preserve"> </w:t>
      </w:r>
      <w:r>
        <w:t xml:space="preserve">meningkatkan utilisasi layanan maternal di antara keluarga termiskin.</w:t>
      </w:r>
      <w:r>
        <w:t xml:space="preserve"> </w:t>
      </w:r>
      <w:r>
        <w:t xml:space="preserve">Evaluasi PKH di Indonesia menunjukkan peningkatan cakupan persalinan</w:t>
      </w:r>
      <w:r>
        <w:t xml:space="preserve"> </w:t>
      </w:r>
      <w:r>
        <w:t xml:space="preserve">fasilitas sebesar 8–15 poin persentase di antara penerima manfaat</w:t>
      </w:r>
      <w:r>
        <w:t xml:space="preserve"> </w:t>
      </w:r>
      <w:r>
        <w:t xml:space="preserve">dibandingkan kelompok kontrol — sebuah dampak yang signifikan</w:t>
      </w:r>
      <w:r>
        <w:t xml:space="preserve"> </w:t>
      </w:r>
      <w:r>
        <w:t xml:space="preserve">mengingat kelompok ini adalah yang paling sulit dijangkau oleh program</w:t>
      </w:r>
      <w:r>
        <w:t xml:space="preserve"> </w:t>
      </w:r>
      <w:r>
        <w:t xml:space="preserve">konvensional.</w:t>
      </w:r>
    </w:p>
    <w:bookmarkEnd w:id="100"/>
    <w:bookmarkStart w:id="101" w:name="Xe3a9a19469bcecfea6a342053e4a5bac8d39cea"/>
    <w:p>
      <w:pPr>
        <w:pStyle w:val="Heading4"/>
      </w:pPr>
      <w:r>
        <w:t xml:space="preserve">b. Hambatan Akses Berlapis: Geografis, Finansial, dan Sosial</w:t>
      </w:r>
    </w:p>
    <w:p>
      <w:pPr>
        <w:pStyle w:val="FirstParagraph"/>
      </w:pPr>
      <w:r>
        <w:t xml:space="preserve">Perempuan miskin di Indonesia menghadapi hambatan akses yang bersifat</w:t>
      </w:r>
      <w:r>
        <w:t xml:space="preserve"> </w:t>
      </w:r>
      <w:r>
        <w:t xml:space="preserve">berlapis dan saling memperkuat: hambatan geografis (jarak ke fasilitas,</w:t>
      </w:r>
      <w:r>
        <w:t xml:space="preserve"> </w:t>
      </w:r>
      <w:r>
        <w:t xml:space="preserve">kondisi jalan yang buruk, tidak ada transportasi umum), hambatan</w:t>
      </w:r>
      <w:r>
        <w:t xml:space="preserve"> </w:t>
      </w:r>
      <w:r>
        <w:t xml:space="preserve">finansial (biaya transportasi yang tidak ditanggung JKN, biaya informal,</w:t>
      </w:r>
      <w:r>
        <w:t xml:space="preserve"> </w:t>
      </w:r>
      <w:r>
        <w:t xml:space="preserve">biaya opportunity), dan hambatan sosial-budaya (norma tentang perlunya</w:t>
      </w:r>
      <w:r>
        <w:t xml:space="preserve"> </w:t>
      </w:r>
      <w:r>
        <w:t xml:space="preserve">izin suami, kepercayaan pada dukun, rasa malu). Mengatasi hanya satu</w:t>
      </w:r>
      <w:r>
        <w:t xml:space="preserve"> </w:t>
      </w:r>
      <w:r>
        <w:t xml:space="preserve">hambatan tidak cukup — program yang berhasil secara konsisten</w:t>
      </w:r>
      <w:r>
        <w:t xml:space="preserve"> </w:t>
      </w:r>
      <w:r>
        <w:t xml:space="preserve">mengidentifikasi dan mengatasi kombinasi hambatan yang spesifik untuk</w:t>
      </w:r>
      <w:r>
        <w:t xml:space="preserve"> </w:t>
      </w:r>
      <w:r>
        <w:t xml:space="preserve">komunitas target mereka.</w:t>
      </w:r>
    </w:p>
    <w:bookmarkEnd w:id="101"/>
    <w:bookmarkEnd w:id="102"/>
    <w:bookmarkStart w:id="105" w:name="kesehatan-maternal-pada-perempuan-migran"/>
    <w:p>
      <w:pPr>
        <w:pStyle w:val="Heading2"/>
      </w:pPr>
      <w:r>
        <w:t xml:space="preserve">4.2 Kesehatan Maternal pada Perempuan Migran</w:t>
      </w:r>
    </w:p>
    <w:bookmarkStart w:id="103" w:name="X37cf4cb1be229f56778ec17a8e32cf542208655"/>
    <w:p>
      <w:pPr>
        <w:pStyle w:val="Heading4"/>
      </w:pPr>
      <w:r>
        <w:t xml:space="preserve">a. TKI Perempuan dan Kesehatan Reproduksinya</w:t>
      </w:r>
    </w:p>
    <w:p>
      <w:pPr>
        <w:pStyle w:val="FirstParagraph"/>
      </w:pPr>
      <w:r>
        <w:t xml:space="preserve">Indonesia mengirim sekitar 1,8 juta TKI per tahun, dengan lebih dari 60%</w:t>
      </w:r>
      <w:r>
        <w:t xml:space="preserve"> </w:t>
      </w:r>
      <w:r>
        <w:t xml:space="preserve">adalah perempuan yang bekerja terutama di sektor domestik di Malaysia,</w:t>
      </w:r>
      <w:r>
        <w:t xml:space="preserve"> </w:t>
      </w:r>
      <w:r>
        <w:t xml:space="preserve">Arab Saudi, Hong Kong, Taiwan, dan Singapura. TKI perempuan menghadapi</w:t>
      </w:r>
      <w:r>
        <w:t xml:space="preserve"> </w:t>
      </w:r>
      <w:r>
        <w:t xml:space="preserve">risiko kesehatan reproduksi yang unik: kerentanan terhadap kekerasan</w:t>
      </w:r>
      <w:r>
        <w:t xml:space="preserve"> </w:t>
      </w:r>
      <w:r>
        <w:t xml:space="preserve">seksual oleh majikan, keterbatasan akses kontrasepsi, kesulitan</w:t>
      </w:r>
      <w:r>
        <w:t xml:space="preserve"> </w:t>
      </w:r>
      <w:r>
        <w:t xml:space="preserve">mengakses ANC di negara tujuan, dan — ketika kembali ke Indonesia</w:t>
      </w:r>
      <w:r>
        <w:t xml:space="preserve"> </w:t>
      </w:r>
      <w:r>
        <w:t xml:space="preserve">dengan masalah kesehatan yang tidak tertangani — menemukan sistem</w:t>
      </w:r>
      <w:r>
        <w:t xml:space="preserve"> </w:t>
      </w:r>
      <w:r>
        <w:t xml:space="preserve">kesehatan yang tidak siap dengan kebutuhan khusus mereka.</w:t>
      </w:r>
    </w:p>
    <w:bookmarkEnd w:id="103"/>
    <w:bookmarkStart w:id="104" w:name="X3482140932ff3d878c40388880282fb1bbcc1a3"/>
    <w:p>
      <w:pPr>
        <w:pStyle w:val="Heading4"/>
      </w:pPr>
      <w:r>
        <w:t xml:space="preserve">b. Kesehatan Maternal Pengungsi Internal dan Internasional</w:t>
      </w:r>
    </w:p>
    <w:p>
      <w:pPr>
        <w:pStyle w:val="FirstParagraph"/>
      </w:pPr>
      <w:r>
        <w:t xml:space="preserve">Indonesia menerima pengungsi dari berbagai negara melalui UNHCR, dan</w:t>
      </w:r>
      <w:r>
        <w:t xml:space="preserve"> </w:t>
      </w:r>
      <w:r>
        <w:t xml:space="preserve">juga menghadapi pengungsian internal akibat bencana alam dan konflik.</w:t>
      </w:r>
      <w:r>
        <w:t xml:space="preserve"> </w:t>
      </w:r>
      <w:r>
        <w:t xml:space="preserve">Perempuan hamil pengungsi menghadapi kondisi yang sangat rentan:</w:t>
      </w:r>
      <w:r>
        <w:t xml:space="preserve"> </w:t>
      </w:r>
      <w:r>
        <w:t xml:space="preserve">keterbatasan akses layanan kesehatan, kondisi hidup yang padat dan tidak</w:t>
      </w:r>
      <w:r>
        <w:t xml:space="preserve"> </w:t>
      </w:r>
      <w:r>
        <w:t xml:space="preserve">higienis, stres psikologis yang berat akibat perpindahan paksa, dan</w:t>
      </w:r>
      <w:r>
        <w:t xml:space="preserve"> </w:t>
      </w:r>
      <w:r>
        <w:t xml:space="preserve">sering kali status hukum yang tidak jelas yang menghambat akses ke</w:t>
      </w:r>
      <w:r>
        <w:t xml:space="preserve"> </w:t>
      </w:r>
      <w:r>
        <w:t xml:space="preserve">layanan formal. Sistem kesehatan yang responsif terhadap pengungsi harus</w:t>
      </w:r>
      <w:r>
        <w:t xml:space="preserve"> </w:t>
      </w:r>
      <w:r>
        <w:t xml:space="preserve">memiliki protokol yang jelas untuk skrining, perawatan, dan rujukan</w:t>
      </w:r>
      <w:r>
        <w:t xml:space="preserve"> </w:t>
      </w:r>
      <w:r>
        <w:t xml:space="preserve">perempuan hamil dalam kondisi ini.</w:t>
      </w:r>
    </w:p>
    <w:bookmarkEnd w:id="104"/>
    <w:bookmarkEnd w:id="105"/>
    <w:bookmarkStart w:id="108" w:name="X3513d54f3b3eb3a018676b3371d481be132ff5f"/>
    <w:p>
      <w:pPr>
        <w:pStyle w:val="Heading2"/>
      </w:pPr>
      <w:r>
        <w:t xml:space="preserve">4.3 Kesehatan Maternal pada Perempuan dengan Disabilitas</w:t>
      </w:r>
    </w:p>
    <w:bookmarkStart w:id="106" w:name="X282123f32768c400ea521115e9c40431ee5318a"/>
    <w:p>
      <w:pPr>
        <w:pStyle w:val="Heading4"/>
      </w:pPr>
      <w:r>
        <w:t xml:space="preserve">a. Penyesuaian Layanan ANC untuk Perempuan dengan Disabilitas Fisik</w:t>
      </w:r>
    </w:p>
    <w:p>
      <w:pPr>
        <w:pStyle w:val="FirstParagraph"/>
      </w:pPr>
      <w:r>
        <w:t xml:space="preserve">Penyesuaian layanan ANC untuk perempuan dengan disabilitas fisik</w:t>
      </w:r>
      <w:r>
        <w:t xml:space="preserve"> </w:t>
      </w:r>
      <w:r>
        <w:t xml:space="preserve">mencakup berbagai dimensi: aksesibilitas fisik fasilitas (ramp, toilet</w:t>
      </w:r>
      <w:r>
        <w:t xml:space="preserve"> </w:t>
      </w:r>
      <w:r>
        <w:t xml:space="preserve">yang dapat diakses kursi roda, meja periksa yang dapat diturunkan</w:t>
      </w:r>
      <w:r>
        <w:t xml:space="preserve"> </w:t>
      </w:r>
      <w:r>
        <w:t xml:space="preserve">ketinggiannya), modifikasi teknik pemeriksaan (pemeriksaan Leopold yang</w:t>
      </w:r>
      <w:r>
        <w:t xml:space="preserve"> </w:t>
      </w:r>
      <w:r>
        <w:t xml:space="preserve">dimodifikasi untuk perempuan dengan kontraktur atau deformitas tulang</w:t>
      </w:r>
      <w:r>
        <w:t xml:space="preserve"> </w:t>
      </w:r>
      <w:r>
        <w:t xml:space="preserve">belakang), adaptasi alat (USG probe yang lebih mudah dipegang,</w:t>
      </w:r>
      <w:r>
        <w:t xml:space="preserve"> </w:t>
      </w:r>
      <w:r>
        <w:t xml:space="preserve">tensimeter digital yang dapat digunakan satu tangan), dan alokasi waktu</w:t>
      </w:r>
      <w:r>
        <w:t xml:space="preserve"> </w:t>
      </w:r>
      <w:r>
        <w:t xml:space="preserve">konsultasi yang lebih panjang. Kunci dari semua penyesuaian ini adalah</w:t>
      </w:r>
      <w:r>
        <w:t xml:space="preserve"> </w:t>
      </w:r>
      <w:r>
        <w:t xml:space="preserve">bertanya kepada pasien — ia adalah ahli tentang bagaimana tubuhnya</w:t>
      </w:r>
      <w:r>
        <w:t xml:space="preserve"> </w:t>
      </w:r>
      <w:r>
        <w:t xml:space="preserve">berfungsi dan apa yang ia butuhkan.</w:t>
      </w:r>
    </w:p>
    <w:bookmarkEnd w:id="106"/>
    <w:bookmarkStart w:id="107" w:name="X9168a4481afa4b47a2baf8a76b69d8984058679"/>
    <w:p>
      <w:pPr>
        <w:pStyle w:val="Heading4"/>
      </w:pPr>
      <w:r>
        <w:t xml:space="preserve">b. Disabilitas Sensorik: Komunikasi Adaptif</w:t>
      </w:r>
    </w:p>
    <w:p>
      <w:pPr>
        <w:pStyle w:val="FirstParagraph"/>
      </w:pPr>
      <w:r>
        <w:t xml:space="preserve">Perempuan dengan gangguan pendengaran memerlukan layanan ANC yang</w:t>
      </w:r>
      <w:r>
        <w:t xml:space="preserve"> </w:t>
      </w:r>
      <w:r>
        <w:t xml:space="preserve">mengakomodasi kebutuhan komunikasinya: penggunaan bahasa isyarat</w:t>
      </w:r>
      <w:r>
        <w:t xml:space="preserve"> </w:t>
      </w:r>
      <w:r>
        <w:t xml:space="preserve">(BISINDO) jika tersedia interpreter, komunikasi tertulis sebagai</w:t>
      </w:r>
      <w:r>
        <w:t xml:space="preserve"> </w:t>
      </w:r>
      <w:r>
        <w:t xml:space="preserve">alternatif, visual aids yang komprehensif, dan pastikan informasi kritis</w:t>
      </w:r>
      <w:r>
        <w:t xml:space="preserve"> </w:t>
      </w:r>
      <w:r>
        <w:t xml:space="preserve">tidak hanya disampaikan secara verbal. Perempuan dengan gangguan</w:t>
      </w:r>
      <w:r>
        <w:t xml:space="preserve"> </w:t>
      </w:r>
      <w:r>
        <w:t xml:space="preserve">penglihatan memerlukan deskripsi verbal yang komprehensif dari semua</w:t>
      </w:r>
      <w:r>
        <w:t xml:space="preserve"> </w:t>
      </w:r>
      <w:r>
        <w:t xml:space="preserve">prosedur yang akan dilakukan, materi edukasi dalam format audio atau</w:t>
      </w:r>
      <w:r>
        <w:t xml:space="preserve"> </w:t>
      </w:r>
      <w:r>
        <w:t xml:space="preserve">Braille, dan orientasi fisik terhadap lingkungan fasilitas.</w:t>
      </w:r>
    </w:p>
    <w:bookmarkEnd w:id="107"/>
    <w:bookmarkEnd w:id="108"/>
    <w:bookmarkStart w:id="112" w:name="X9adb004df7a041984598506bc54449c997adffe"/>
    <w:p>
      <w:pPr>
        <w:pStyle w:val="Heading2"/>
      </w:pPr>
      <w:r>
        <w:t xml:space="preserve">4.4 Kesehatan Reproduksi pada Situasi Bencana</w:t>
      </w:r>
    </w:p>
    <w:bookmarkStart w:id="109" w:name="X2d01864a6fda995fa8d94cbd36b3f3b9008e9c3"/>
    <w:p>
      <w:pPr>
        <w:pStyle w:val="Heading4"/>
      </w:pPr>
      <w:r>
        <w:t xml:space="preserve">a. Minimum Initial Service Package (MISP) — Komponen dan Implementasi</w:t>
      </w:r>
    </w:p>
    <w:p>
      <w:pPr>
        <w:pStyle w:val="FirstParagraph"/>
      </w:pPr>
      <w:r>
        <w:t xml:space="preserve">MISP adalah set intervensi minimal yang harus tersedia dalam 48–72 jam</w:t>
      </w:r>
      <w:r>
        <w:t xml:space="preserve"> </w:t>
      </w:r>
      <w:r>
        <w:t xml:space="preserve">pertama respons bencana untuk mengurangi morbiditas dan mortalitas</w:t>
      </w:r>
      <w:r>
        <w:t xml:space="preserve"> </w:t>
      </w:r>
      <w:r>
        <w:t xml:space="preserve">reproduksi. Dikembangkan oleh Inter-Agency Working Group on Reproductive</w:t>
      </w:r>
      <w:r>
        <w:t xml:space="preserve"> </w:t>
      </w:r>
      <w:r>
        <w:t xml:space="preserve">Health in Crises (IAWG), MISP terdiri dari enam komponen: (1) koordinasi</w:t>
      </w:r>
      <w:r>
        <w:t xml:space="preserve"> </w:t>
      </w:r>
      <w:r>
        <w:t xml:space="preserve">layanan reproduksi dalam respons bencana; (2) pencegahan dan penanganan</w:t>
      </w:r>
      <w:r>
        <w:t xml:space="preserve"> </w:t>
      </w:r>
      <w:r>
        <w:t xml:space="preserve">kekerasan seksual; (3) penyediaan kit persalinan bersih untuk persalinan</w:t>
      </w:r>
      <w:r>
        <w:t xml:space="preserve"> </w:t>
      </w:r>
      <w:r>
        <w:t xml:space="preserve">yang tidak dapat dihindari; (4) pencegahan penularan HIV lebih lanjut;</w:t>
      </w:r>
      <w:r>
        <w:t xml:space="preserve"> </w:t>
      </w:r>
      <w:r>
        <w:t xml:space="preserve">(5) pengaturan distribusi kontrasepsi darurat untuk menghindari</w:t>
      </w:r>
      <w:r>
        <w:t xml:space="preserve"> </w:t>
      </w:r>
      <w:r>
        <w:t xml:space="preserve">kehamilan yang tidak diinginkan; dan (6) perencanaan untuk integrasi</w:t>
      </w:r>
      <w:r>
        <w:t xml:space="preserve"> </w:t>
      </w:r>
      <w:r>
        <w:t xml:space="preserve">layanan reproduksi komprehensif segera setelah fase darurat berlalu.</w:t>
      </w:r>
    </w:p>
    <w:p>
      <w:pPr>
        <w:pStyle w:val="BodyText"/>
      </w:pPr>
      <w:r>
        <w:t xml:space="preserve">Dalam konteks Indonesia yang rawan bencana (gempa, tsunami, banjir,</w:t>
      </w:r>
      <w:r>
        <w:t xml:space="preserve"> </w:t>
      </w:r>
      <w:r>
        <w:t xml:space="preserve">letusan gunung berapi), persiapan MISP harus dilakukan sebelum bencana</w:t>
      </w:r>
      <w:r>
        <w:t xml:space="preserve"> </w:t>
      </w:r>
      <w:r>
        <w:t xml:space="preserve">— bukan reaktif saat bencana terjadi. Ini berarti: pelatihan tim</w:t>
      </w:r>
      <w:r>
        <w:t xml:space="preserve"> </w:t>
      </w:r>
      <w:r>
        <w:t xml:space="preserve">kesehatan dalam implementasi MISP, pra-penyediaan kit MISP di gudang</w:t>
      </w:r>
      <w:r>
        <w:t xml:space="preserve"> </w:t>
      </w:r>
      <w:r>
        <w:t xml:space="preserve">darurat, protokol aktivasi yang jelas, dan latihan reguler.</w:t>
      </w:r>
    </w:p>
    <w:bookmarkEnd w:id="109"/>
    <w:bookmarkStart w:id="110" w:name="X67560418bb73ea44d1a9d92f3c48475f3895955"/>
    <w:p>
      <w:pPr>
        <w:pStyle w:val="Heading4"/>
      </w:pPr>
      <w:r>
        <w:t xml:space="preserve">b. Koordinasi dengan BNPB dan Kluster Kesehatan</w:t>
      </w:r>
    </w:p>
    <w:p>
      <w:pPr>
        <w:pStyle w:val="FirstParagraph"/>
      </w:pPr>
      <w:r>
        <w:t xml:space="preserve">Sistem respons bencana Indonesia menggunakan Incident Command System</w:t>
      </w:r>
      <w:r>
        <w:t xml:space="preserve"> </w:t>
      </w:r>
      <w:r>
        <w:t xml:space="preserve">dengan BNPB (Badan Nasional Penanggulangan Bencana) sebagai koordinator</w:t>
      </w:r>
      <w:r>
        <w:t xml:space="preserve"> </w:t>
      </w:r>
      <w:r>
        <w:t xml:space="preserve">nasional. Dalam kluster kesehatan, layanan reproduksi maternal termasuk</w:t>
      </w:r>
      <w:r>
        <w:t xml:space="preserve"> </w:t>
      </w:r>
      <w:r>
        <w:t xml:space="preserve">sebagai sub-kluster atau elemen kritis yang harus dikoordinasikan.</w:t>
      </w:r>
      <w:r>
        <w:t xml:space="preserve"> </w:t>
      </w:r>
      <w:r>
        <w:t xml:space="preserve">Seorang subspesialis Obginsos dapat berperan sebagai technical advisor</w:t>
      </w:r>
      <w:r>
        <w:t xml:space="preserve"> </w:t>
      </w:r>
      <w:r>
        <w:t xml:space="preserve">dalam kluster kesehatan untuk memastikan bahwa kebutuhan kesehatan</w:t>
      </w:r>
      <w:r>
        <w:t xml:space="preserve"> </w:t>
      </w:r>
      <w:r>
        <w:t xml:space="preserve">reproduksi perempuan — yang sering terpinggirkan dalam respons bencana</w:t>
      </w:r>
      <w:r>
        <w:t xml:space="preserve"> </w:t>
      </w:r>
      <w:r>
        <w:t xml:space="preserve">yang lebih berfokus pada trauma akut — mendapat perhatian yang</w:t>
      </w:r>
      <w:r>
        <w:t xml:space="preserve"> </w:t>
      </w:r>
      <w:r>
        <w:t xml:space="preserve">proporsional.</w:t>
      </w:r>
    </w:p>
    <w:bookmarkEnd w:id="110"/>
    <w:bookmarkStart w:id="111" w:name="X6b61098a216ec82822cb14fe807c2b670838483"/>
    <w:p>
      <w:pPr>
        <w:pStyle w:val="Heading3"/>
      </w:pPr>
      <w:r>
        <w:t xml:space="preserve">Referensi — BAB 4 — Populasi Rentan dan Kesehatan Maternal</w:t>
      </w:r>
    </w:p>
    <w:p>
      <w:pPr>
        <w:numPr>
          <w:ilvl w:val="0"/>
          <w:numId w:val="1011"/>
        </w:numPr>
      </w:pPr>
      <w:r>
        <w:t xml:space="preserve">Bhutta ZA, Chopra M, Axelson H, et al. (2010). Countdown to 2015</w:t>
      </w:r>
      <w:r>
        <w:t xml:space="preserve"> </w:t>
      </w:r>
      <w:r>
        <w:t xml:space="preserve">decade report (2000–10): taking stock of maternal, newborn, and</w:t>
      </w:r>
      <w:r>
        <w:t xml:space="preserve"> </w:t>
      </w:r>
      <w:r>
        <w:t xml:space="preserve">child survival. Lancet, 375(9730):2032–2044.</w:t>
      </w:r>
      <w:r>
        <w:t xml:space="preserve"> </w:t>
      </w:r>
      <w:r>
        <w:t xml:space="preserve">https://doi.org/10.1016/S0140-6736(10)60678-2</w:t>
      </w:r>
    </w:p>
    <w:p>
      <w:pPr>
        <w:numPr>
          <w:ilvl w:val="0"/>
          <w:numId w:val="1011"/>
        </w:numPr>
      </w:pPr>
      <w:r>
        <w:t xml:space="preserve">UNHCR. (2023). Global Trends: Forced Displacement in 2022. Geneva:</w:t>
      </w:r>
      <w:r>
        <w:t xml:space="preserve"> </w:t>
      </w:r>
      <w:r>
        <w:t xml:space="preserve">UNHCR. https://www.unhcr.org/global-trends-report-2022</w:t>
      </w:r>
    </w:p>
    <w:p>
      <w:pPr>
        <w:numPr>
          <w:ilvl w:val="0"/>
          <w:numId w:val="1011"/>
        </w:numPr>
      </w:pPr>
      <w:r>
        <w:t xml:space="preserve">Sphere Association. (2018). The Sphere Handbook: Humanitarian</w:t>
      </w:r>
      <w:r>
        <w:t xml:space="preserve"> </w:t>
      </w:r>
      <w:r>
        <w:t xml:space="preserve">Charter and Minimum Standards in Humanitarian Response. 4th ed.</w:t>
      </w:r>
      <w:r>
        <w:t xml:space="preserve"> </w:t>
      </w:r>
      <w:r>
        <w:t xml:space="preserve">Geneva: Sphere. https://www.spherestandards.org/handbook/</w:t>
      </w:r>
    </w:p>
    <w:p>
      <w:pPr>
        <w:numPr>
          <w:ilvl w:val="0"/>
          <w:numId w:val="1011"/>
        </w:numPr>
      </w:pPr>
      <w:r>
        <w:t xml:space="preserve">Inter-Agency Working Group on Reproductive Health in Crises (IAWG).</w:t>
      </w:r>
      <w:r>
        <w:t xml:space="preserve"> </w:t>
      </w:r>
      <w:r>
        <w:t xml:space="preserve">(2018). Inter-Agency Field Manual on Reproductive Health in</w:t>
      </w:r>
      <w:r>
        <w:t xml:space="preserve"> </w:t>
      </w:r>
      <w:r>
        <w:t xml:space="preserve">Humanitarian Settings. Geneva: IAWG. https://iawg.net</w:t>
      </w:r>
    </w:p>
    <w:p>
      <w:pPr>
        <w:numPr>
          <w:ilvl w:val="0"/>
          <w:numId w:val="1011"/>
        </w:numPr>
      </w:pPr>
      <w:r>
        <w:t xml:space="preserve">Phillimore J. (2016). Migrant maternity in an era of superdiversity:</w:t>
      </w:r>
      <w:r>
        <w:t xml:space="preserve"> </w:t>
      </w:r>
      <w:r>
        <w:t xml:space="preserve">new migrants' access to, and experience of, reproductive</w:t>
      </w:r>
      <w:r>
        <w:t xml:space="preserve"> </w:t>
      </w:r>
      <w:r>
        <w:t xml:space="preserve">healthcare. Social Science &amp; Medicine, 148:152–159.</w:t>
      </w:r>
      <w:r>
        <w:t xml:space="preserve"> </w:t>
      </w:r>
      <w:r>
        <w:t xml:space="preserve">https://doi.org/10.1016/j.socscimed.2015.11.047</w:t>
      </w:r>
    </w:p>
    <w:p>
      <w:pPr>
        <w:numPr>
          <w:ilvl w:val="0"/>
          <w:numId w:val="1011"/>
        </w:numPr>
      </w:pPr>
      <w:r>
        <w:t xml:space="preserve">Mitra M, Clements KM, Zhang J, et al. (2015). Maternal</w:t>
      </w:r>
      <w:r>
        <w:t xml:space="preserve"> </w:t>
      </w:r>
      <w:r>
        <w:t xml:space="preserve">characteristics, pregnancy complications, and adverse birth outcomes</w:t>
      </w:r>
      <w:r>
        <w:t xml:space="preserve"> </w:t>
      </w:r>
      <w:r>
        <w:t xml:space="preserve">among women with disabilities. Medical Care, 53(12):1027–1032.</w:t>
      </w:r>
      <w:r>
        <w:t xml:space="preserve"> </w:t>
      </w:r>
      <w:r>
        <w:t xml:space="preserve">https://doi.org/10.1097/MLR.0000000000000427</w:t>
      </w:r>
    </w:p>
    <w:p>
      <w:pPr>
        <w:numPr>
          <w:ilvl w:val="0"/>
          <w:numId w:val="1011"/>
        </w:numPr>
      </w:pPr>
      <w:r>
        <w:t xml:space="preserve">World Health Organization. (2015). Disability and Health. Fact</w:t>
      </w:r>
      <w:r>
        <w:t xml:space="preserve"> </w:t>
      </w:r>
      <w:r>
        <w:t xml:space="preserve">Sheet. Geneva: WHO.</w:t>
      </w:r>
      <w:r>
        <w:t xml:space="preserve"> </w:t>
      </w:r>
      <w:r>
        <w:t xml:space="preserve">https://www.who.int/news-room/fact-sheets/detail/disability-and-health</w:t>
      </w:r>
    </w:p>
    <w:p>
      <w:pPr>
        <w:numPr>
          <w:ilvl w:val="0"/>
          <w:numId w:val="1011"/>
        </w:numPr>
      </w:pPr>
      <w:r>
        <w:t xml:space="preserve">Kementerian Kesehatan RI. (2021). Pedoman Pelayanan Kesehatan</w:t>
      </w:r>
      <w:r>
        <w:t xml:space="preserve"> </w:t>
      </w:r>
      <w:r>
        <w:t xml:space="preserve">Reproduksi pada Kondisi Darurat Bencana. Jakarta: Kemenkes.</w:t>
      </w:r>
      <w:r>
        <w:t xml:space="preserve"> </w:t>
      </w:r>
      <w:r>
        <w:t xml:space="preserve">https://www.kemkes.go.id</w:t>
      </w:r>
    </w:p>
    <w:p>
      <w:pPr>
        <w:numPr>
          <w:ilvl w:val="0"/>
          <w:numId w:val="1011"/>
        </w:numPr>
      </w:pPr>
      <w:r>
        <w:t xml:space="preserve">ILO. (2023). ILO Global Estimates on International Migrant Workers:</w:t>
      </w:r>
      <w:r>
        <w:t xml:space="preserve"> </w:t>
      </w:r>
      <w:r>
        <w:t xml:space="preserve">Results and Methodology. 3rd ed. Geneva: ILO. https://www.ilo.org</w:t>
      </w:r>
    </w:p>
    <w:p>
      <w:pPr>
        <w:numPr>
          <w:ilvl w:val="0"/>
          <w:numId w:val="1011"/>
        </w:numPr>
      </w:pPr>
      <w:r>
        <w:t xml:space="preserve">Kementerian Sosial RI. (2023). Data Terpadu Kesejahteraan Sosial</w:t>
      </w:r>
      <w:r>
        <w:t xml:space="preserve"> </w:t>
      </w:r>
      <w:r>
        <w:t xml:space="preserve">(DTKS): Profil Kemiskinan Indonesia 2023. Jakarta: Kemensos.</w:t>
      </w:r>
      <w:r>
        <w:t xml:space="preserve"> </w:t>
      </w:r>
      <w:r>
        <w:t xml:space="preserve">https://www.kemensos.go.id</w:t>
      </w:r>
    </w:p>
    <w:p>
      <w:pPr>
        <w:pStyle w:val="FirstParagraph"/>
      </w:pPr>
      <w:r>
        <w:rPr>
          <w:bCs/>
          <w:b/>
        </w:rPr>
        <w:t xml:space="preserve">BAB 5</w:t>
      </w:r>
    </w:p>
    <w:p>
      <w:pPr>
        <w:pStyle w:val="BodyText"/>
      </w:pPr>
      <w:r>
        <w:rPr>
          <w:bCs/>
          <w:b/>
        </w:rPr>
        <w:t xml:space="preserve">KESEHATAN REPRODUKSI DAN PERUBAHAN IKLIM</w:t>
      </w:r>
    </w:p>
    <w:p>
      <w:pPr>
        <w:pStyle w:val="BodyText"/>
      </w:pPr>
      <w:r>
        <w:rPr>
          <w:iCs/>
          <w:i/>
        </w:rPr>
        <w:t xml:space="preserve">Dampak planetary health pada kesehatan maternal dan strategi adaptasi</w:t>
      </w:r>
      <w:r>
        <w:rPr>
          <w:iCs/>
          <w:i/>
        </w:rPr>
        <w:t xml:space="preserve"> </w:t>
      </w:r>
      <w:r>
        <w:rPr>
          <w:iCs/>
          <w:i/>
        </w:rPr>
        <w:t xml:space="preserve">layanan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🎯 TUJUAN PEMBELAJARAN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</w:t>
            </w:r>
            <w:r>
              <w:t xml:space="preserve"> </w:t>
            </w:r>
            <w:r>
              <w:t xml:space="preserve">Menjelaskan mekanisme biologis dampak perubahan iklim pada</w:t>
            </w:r>
            <w:r>
              <w:t xml:space="preserve"> </w:t>
            </w:r>
            <w:r>
              <w:t xml:space="preserve">kehamilan dan neonatus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</w:t>
            </w:r>
            <w:r>
              <w:t xml:space="preserve"> </w:t>
            </w:r>
            <w:r>
              <w:t xml:space="preserve">Mengidentifikasi daerah dan populasi yang paling rentan terhadap</w:t>
            </w:r>
            <w:r>
              <w:t xml:space="preserve"> </w:t>
            </w:r>
            <w:r>
              <w:t xml:space="preserve">dampak iklim pada kesehatan maternal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</w:t>
            </w:r>
            <w:r>
              <w:t xml:space="preserve"> </w:t>
            </w:r>
            <w:r>
              <w:t xml:space="preserve">Merancang strategi adaptasi sistem layanan maternal terhadap</w:t>
            </w:r>
            <w:r>
              <w:t xml:space="preserve"> </w:t>
            </w:r>
            <w:r>
              <w:t xml:space="preserve">ancaman iklim yang meningkat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</w:t>
            </w:r>
            <w:r>
              <w:t xml:space="preserve"> </w:t>
            </w:r>
            <w:r>
              <w:t xml:space="preserve">Mengintegrasikan prinsip green healthcare dalam manajemen unit</w:t>
            </w:r>
            <w:r>
              <w:t xml:space="preserve"> </w:t>
            </w:r>
            <w:r>
              <w:t xml:space="preserve">kebidanan</w:t>
            </w:r>
          </w:p>
        </w:tc>
      </w:tr>
    </w:tbl>
    <w:bookmarkEnd w:id="111"/>
    <w:bookmarkEnd w:id="112"/>
    <w:bookmarkStart w:id="124" w:name="X6e1baf896a289cee99698108cbe2029315cee26"/>
    <w:p>
      <w:pPr>
        <w:pStyle w:val="Heading2"/>
      </w:pPr>
      <w:r>
        <w:t xml:space="preserve">5.1 Dampak Perubahan Iklim pada Kesehatan Maternal</w:t>
      </w:r>
    </w:p>
    <w:p>
      <w:pPr>
        <w:pStyle w:val="FirstParagraph"/>
      </w:pPr>
      <w:r>
        <w:t xml:space="preserve">Perubahan iklim bukan sekadar isu lingkungan — ia adalah krisis</w:t>
      </w:r>
      <w:r>
        <w:t xml:space="preserve"> </w:t>
      </w:r>
      <w:r>
        <w:t xml:space="preserve">kesehatan yang semakin mendesak dengan dampak yang paling berat jatuh</w:t>
      </w:r>
      <w:r>
        <w:t xml:space="preserve"> </w:t>
      </w:r>
      <w:r>
        <w:t xml:space="preserve">pada kelompok yang paling rentan, termasuk ibu hamil. Kenaikan suhu</w:t>
      </w:r>
      <w:r>
        <w:t xml:space="preserve"> </w:t>
      </w:r>
      <w:r>
        <w:t xml:space="preserve">rata-rata global, peningkatan frekuensi dan intensitas cuaca ekstrem,</w:t>
      </w:r>
      <w:r>
        <w:t xml:space="preserve"> </w:t>
      </w:r>
      <w:r>
        <w:t xml:space="preserve">perubahan pola curah hujan, dan naiknya permukaan laut secara kolektif</w:t>
      </w:r>
      <w:r>
        <w:t xml:space="preserve"> </w:t>
      </w:r>
      <w:r>
        <w:t xml:space="preserve">mengancam sistem layanan kesehatan maternal yang sudah ada.</w:t>
      </w:r>
    </w:p>
    <w:bookmarkStart w:id="115" w:name="heat-stress-dan-komplikasi-kehamilan"/>
    <w:p>
      <w:pPr>
        <w:pStyle w:val="Heading3"/>
      </w:pPr>
      <w:r>
        <w:t xml:space="preserve">5.1.1 Heat Stress dan Komplikasi Kehamilan</w:t>
      </w:r>
    </w:p>
    <w:bookmarkStart w:id="113" w:name="X4ee7a31d2f47839229d2250c0a0ea2d106e9320"/>
    <w:p>
      <w:pPr>
        <w:pStyle w:val="Heading4"/>
      </w:pPr>
      <w:r>
        <w:t xml:space="preserve">a. Mekanisme Biologis Heat Stress pada Kehamilan</w:t>
      </w:r>
    </w:p>
    <w:p>
      <w:pPr>
        <w:pStyle w:val="FirstParagraph"/>
      </w:pPr>
      <w:r>
        <w:t xml:space="preserve">Kehamilan meningkatkan kerentanan fisiologis terhadap panas: metabolisme</w:t>
      </w:r>
      <w:r>
        <w:t xml:space="preserve"> </w:t>
      </w:r>
      <w:r>
        <w:t xml:space="preserve">basal yang lebih tinggi (+10–25%), perubahan vasodilatasi perifer, dan</w:t>
      </w:r>
      <w:r>
        <w:t xml:space="preserve"> </w:t>
      </w:r>
      <w:r>
        <w:t xml:space="preserve">keterbatasan kemampuan termoregulasi pada trimester ketiga — semua ini</w:t>
      </w:r>
      <w:r>
        <w:t xml:space="preserve"> </w:t>
      </w:r>
      <w:r>
        <w:t xml:space="preserve">membuat ibu hamil lebih rentan terhadap hipertermia. Paparan panas</w:t>
      </w:r>
      <w:r>
        <w:t xml:space="preserve"> </w:t>
      </w:r>
      <w:r>
        <w:t xml:space="preserve">ekstrem selama kehamilan bekerja melalui beberapa mekanisme: (1)</w:t>
      </w:r>
      <w:r>
        <w:t xml:space="preserve"> </w:t>
      </w:r>
      <w:r>
        <w:t xml:space="preserve">aktivasi jalur stress hormonal (peningkatan kortisol yang mengganggu</w:t>
      </w:r>
      <w:r>
        <w:t xml:space="preserve"> </w:t>
      </w:r>
      <w:r>
        <w:t xml:space="preserve">pertumbuhan janin), (2) vasokonstriksi uteroplasenta (mengurangi aliran</w:t>
      </w:r>
      <w:r>
        <w:t xml:space="preserve"> </w:t>
      </w:r>
      <w:r>
        <w:t xml:space="preserve">darah dan oksigen ke janin), (3) dehidrasi (memicu kontraksi prematur),</w:t>
      </w:r>
      <w:r>
        <w:t xml:space="preserve"> </w:t>
      </w:r>
      <w:r>
        <w:t xml:space="preserve">dan (4) peningkatan risiko infeksi melalui imunomodulasi panas.</w:t>
      </w:r>
    </w:p>
    <w:p>
      <w:pPr>
        <w:pStyle w:val="BodyText"/>
      </w:pPr>
      <w:r>
        <w:t xml:space="preserve">Bukti epidemiologi yang semakin kuat: meta-analisis dari 70 studi yang</w:t>
      </w:r>
      <w:r>
        <w:t xml:space="preserve"> </w:t>
      </w:r>
      <w:r>
        <w:t xml:space="preserve">mencakup lebih dari 50 juta kelahiran menunjukkan bahwa setiap kenaikan</w:t>
      </w:r>
      <w:r>
        <w:t xml:space="preserve"> </w:t>
      </w:r>
      <w:r>
        <w:t xml:space="preserve">1°C di atas ambang suhu lokal dikaitkan dengan peningkatan risiko</w:t>
      </w:r>
      <w:r>
        <w:t xml:space="preserve"> </w:t>
      </w:r>
      <w:r>
        <w:t xml:space="preserve">kelahiran prematur sebesar 5%, berat lahir rendah sebesar 4%, dan</w:t>
      </w:r>
      <w:r>
        <w:t xml:space="preserve"> </w:t>
      </w:r>
      <w:r>
        <w:t xml:space="preserve">stillbirth sebesar 2,5%. Untuk Indonesia yang mengalami kenaikan suhu</w:t>
      </w:r>
      <w:r>
        <w:t xml:space="preserve"> </w:t>
      </w:r>
      <w:r>
        <w:t xml:space="preserve">rata-rata 0,3°C per dekade, implikasi kesehatan maternal adalah nyata</w:t>
      </w:r>
      <w:r>
        <w:t xml:space="preserve"> </w:t>
      </w:r>
      <w:r>
        <w:t xml:space="preserve">dan mendesak.</w:t>
      </w:r>
    </w:p>
    <w:bookmarkEnd w:id="113"/>
    <w:bookmarkStart w:id="114" w:name="X28d186a774ce1fd423a097109ffe75f6f781498"/>
    <w:p>
      <w:pPr>
        <w:pStyle w:val="Heading4"/>
      </w:pPr>
      <w:r>
        <w:t xml:space="preserve">b. Rekomendasi Klinis untuk Ibu Hamil di Era Perubahan Iklim</w:t>
      </w:r>
    </w:p>
    <w:p>
      <w:pPr>
        <w:pStyle w:val="FirstParagraph"/>
      </w:pPr>
      <w:r>
        <w:t xml:space="preserve">Panduan praktis untuk ibu hamil dalam menghadapi panas ekstrem yang</w:t>
      </w:r>
      <w:r>
        <w:t xml:space="preserve"> </w:t>
      </w:r>
      <w:r>
        <w:t xml:space="preserve">harus disampaikan dalam konseling ANC: hindari paparan sinar matahari</w:t>
      </w:r>
      <w:r>
        <w:t xml:space="preserve"> </w:t>
      </w:r>
      <w:r>
        <w:t xml:space="preserve">langsung antara pukul 10.00–15.00, tingkatkan asupan cairan setidaknya</w:t>
      </w:r>
      <w:r>
        <w:t xml:space="preserve"> </w:t>
      </w:r>
      <w:r>
        <w:t xml:space="preserve">2–3 liter per hari dan lebih banyak saat suhu tinggi, kenali</w:t>
      </w:r>
      <w:r>
        <w:t xml:space="preserve"> </w:t>
      </w:r>
      <w:r>
        <w:t xml:space="preserve">tanda-tanda heat exhaustion (kelemahan, pusing, mual, berkeringat</w:t>
      </w:r>
      <w:r>
        <w:t xml:space="preserve"> </w:t>
      </w:r>
      <w:r>
        <w:t xml:space="preserve">berlebihan) dan heat stroke (tidak berkeringat, kebingungan, suhu tubuh</w:t>
      </w:r>
      <w:r>
        <w:t xml:space="preserve"> </w:t>
      </w:r>
      <w:r>
        <w:t xml:space="preserve">&gt;40°C) sebagai kondisi yang memerlukan pendinginan segera, dan bekerja</w:t>
      </w:r>
      <w:r>
        <w:t xml:space="preserve"> </w:t>
      </w:r>
      <w:r>
        <w:t xml:space="preserve">atau beraktivitas berat di luar ruangan harus dihindari.</w:t>
      </w:r>
    </w:p>
    <w:bookmarkEnd w:id="114"/>
    <w:bookmarkEnd w:id="115"/>
    <w:bookmarkStart w:id="117" w:name="banjir-dan-akses-layanan-persalinan"/>
    <w:p>
      <w:pPr>
        <w:pStyle w:val="Heading3"/>
      </w:pPr>
      <w:r>
        <w:t xml:space="preserve">5.1.2 Banjir dan Akses Layanan Persalinan</w:t>
      </w:r>
    </w:p>
    <w:bookmarkStart w:id="116" w:name="Xf5a8d364c909630c59002eddc18cd3d19c975bd"/>
    <w:p>
      <w:pPr>
        <w:pStyle w:val="Heading4"/>
      </w:pPr>
      <w:r>
        <w:t xml:space="preserve">a. Pemetaan Kerentanan Layanan Maternal terhadap Bencana Iklim</w:t>
      </w:r>
    </w:p>
    <w:p>
      <w:pPr>
        <w:pStyle w:val="FirstParagraph"/>
      </w:pPr>
      <w:r>
        <w:t xml:space="preserve">Pemetaan kerentanan adalah alat perencanaan yang mengidentifikasi</w:t>
      </w:r>
      <w:r>
        <w:t xml:space="preserve"> </w:t>
      </w:r>
      <w:r>
        <w:t xml:space="preserve">titik-titik lemah dalam sistem layanan maternal yang paling rentan</w:t>
      </w:r>
      <w:r>
        <w:t xml:space="preserve"> </w:t>
      </w:r>
      <w:r>
        <w:t xml:space="preserve">terhadap gangguan iklim. Variabel yang dimasukkan dalam peta kerentanan:</w:t>
      </w:r>
      <w:r>
        <w:t xml:space="preserve"> </w:t>
      </w:r>
      <w:r>
        <w:t xml:space="preserve">frekuensi historis banjir dan bencana iklim lain di setiap wilayah,</w:t>
      </w:r>
      <w:r>
        <w:t xml:space="preserve"> </w:t>
      </w:r>
      <w:r>
        <w:t xml:space="preserve">jarak dari desa ke fasilitas terdekat dan ketersediaan rute alternatif,</w:t>
      </w:r>
      <w:r>
        <w:t xml:space="preserve"> </w:t>
      </w:r>
      <w:r>
        <w:t xml:space="preserve">kapasitas fasilitas untuk beroperasi selama bencana (cadangan listrik,</w:t>
      </w:r>
      <w:r>
        <w:t xml:space="preserve"> </w:t>
      </w:r>
      <w:r>
        <w:t xml:space="preserve">persediaan air bersih, kapasitas rawat inap), dan proporsi ibu hamil di</w:t>
      </w:r>
      <w:r>
        <w:t xml:space="preserve"> </w:t>
      </w:r>
      <w:r>
        <w:t xml:space="preserve">setiap wilayah yang merupakan risiko tinggi. Peta kerentanan yang</w:t>
      </w:r>
      <w:r>
        <w:t xml:space="preserve"> </w:t>
      </w:r>
      <w:r>
        <w:t xml:space="preserve">komprehensif dapat digunakan untuk prioritisasi investasi dalam kesiapan</w:t>
      </w:r>
      <w:r>
        <w:t xml:space="preserve"> </w:t>
      </w:r>
      <w:r>
        <w:t xml:space="preserve">bencana dan perencanaan respons.</w:t>
      </w:r>
    </w:p>
    <w:bookmarkEnd w:id="116"/>
    <w:bookmarkEnd w:id="117"/>
    <w:bookmarkStart w:id="118" w:name="adaptasi-dan-mitigasi"/>
    <w:p>
      <w:pPr>
        <w:pStyle w:val="Heading3"/>
      </w:pPr>
      <w:r>
        <w:t xml:space="preserve">5.2 Adaptasi dan Mitigasi</w:t>
      </w:r>
    </w:p>
    <w:bookmarkEnd w:id="118"/>
    <w:bookmarkStart w:id="119" w:name="X37f1c94f652622099486a785a4bad531bafee58"/>
    <w:p>
      <w:pPr>
        <w:pStyle w:val="Heading3"/>
      </w:pPr>
      <w:r>
        <w:t xml:space="preserve">5.2.1 Sistem Peringatan Dini Maternal untuk Kondisi Iklim Ekstrem</w:t>
      </w:r>
    </w:p>
    <w:p>
      <w:pPr>
        <w:pStyle w:val="FirstParagraph"/>
      </w:pPr>
      <w:r>
        <w:t xml:space="preserve">Sistem peringatan dini yang mengintegrasikan data cuaca dengan data</w:t>
      </w:r>
      <w:r>
        <w:t xml:space="preserve"> </w:t>
      </w:r>
      <w:r>
        <w:t xml:space="preserve">distribusi ibu hamil berisiko tinggi dapat memungkinkan mobilisasi</w:t>
      </w:r>
      <w:r>
        <w:t xml:space="preserve"> </w:t>
      </w:r>
      <w:r>
        <w:t xml:space="preserve">proaktif sebelum bencana iklim terjadi: evakuasi ibu hamil trimester</w:t>
      </w:r>
      <w:r>
        <w:t xml:space="preserve"> </w:t>
      </w:r>
      <w:r>
        <w:t xml:space="preserve">ketiga dari daerah rawan banjir sebelum banjir datang, pengiriman kit</w:t>
      </w:r>
      <w:r>
        <w:t xml:space="preserve"> </w:t>
      </w:r>
      <w:r>
        <w:t xml:space="preserve">persalinan bersih ke daerah yang mungkin terisolir, dan penyiagaan</w:t>
      </w:r>
      <w:r>
        <w:t xml:space="preserve"> </w:t>
      </w:r>
      <w:r>
        <w:t xml:space="preserve">fasilitas rujukan dengan kapasitas tambahan. Teknologi yang mendukung</w:t>
      </w:r>
      <w:r>
        <w:t xml:space="preserve"> </w:t>
      </w:r>
      <w:r>
        <w:t xml:space="preserve">sistem ini sudah tersedia — tantangannya adalah koordinasi</w:t>
      </w:r>
      <w:r>
        <w:t xml:space="preserve"> </w:t>
      </w:r>
      <w:r>
        <w:t xml:space="preserve">antar-sektor dan komitmen institusional untuk menggunakannya.</w:t>
      </w:r>
    </w:p>
    <w:bookmarkEnd w:id="119"/>
    <w:bookmarkStart w:id="122" w:name="X17dc82cdcd69bbaf53d3c64f932d4878f96b5d3"/>
    <w:p>
      <w:pPr>
        <w:pStyle w:val="Heading3"/>
      </w:pPr>
      <w:r>
        <w:t xml:space="preserve">5.2.2 Green Hospital dan Layanan Kesehatan Berkelanjutan</w:t>
      </w:r>
    </w:p>
    <w:bookmarkStart w:id="120" w:name="X127ccaa014f3f01b5db49a6d2b223c62161b609"/>
    <w:p>
      <w:pPr>
        <w:pStyle w:val="Heading4"/>
      </w:pPr>
      <w:r>
        <w:t xml:space="preserve">a. Manajemen Limbah Medis Obstetri yang Ramah Lingkungan</w:t>
      </w:r>
    </w:p>
    <w:p>
      <w:pPr>
        <w:pStyle w:val="FirstParagraph"/>
      </w:pPr>
      <w:r>
        <w:t xml:space="preserve">Unit kebidanan menghasilkan sejumlah besar limbah medis: plasenta, darah</w:t>
      </w:r>
      <w:r>
        <w:t xml:space="preserve"> </w:t>
      </w:r>
      <w:r>
        <w:t xml:space="preserve">dan cairan tubuh, wadah infus dan jarum suntik, sarung tangan sekali</w:t>
      </w:r>
      <w:r>
        <w:t xml:space="preserve"> </w:t>
      </w:r>
      <w:r>
        <w:t xml:space="preserve">pakai, dan kain-kain terkontaminasi. Pengelolaan limbah yang benar</w:t>
      </w:r>
      <w:r>
        <w:t xml:space="preserve"> </w:t>
      </w:r>
      <w:r>
        <w:t xml:space="preserve">adalah kewajiban regulasi (PP No. 101 Tahun 2014 tentang Pengelolaan</w:t>
      </w:r>
      <w:r>
        <w:t xml:space="preserve"> </w:t>
      </w:r>
      <w:r>
        <w:t xml:space="preserve">Limbah B3) sekaligus kewajiban lingkungan. Langkah-langkah yang dapat</w:t>
      </w:r>
      <w:r>
        <w:t xml:space="preserve"> </w:t>
      </w:r>
      <w:r>
        <w:t xml:space="preserve">diimplementasikan segera: pemilahan sampah di titik sumber (medis vs.</w:t>
      </w:r>
      <w:r>
        <w:t xml:space="preserve"> </w:t>
      </w:r>
      <w:r>
        <w:t xml:space="preserve">non-medis), minimisasi penggunaan plastik sekali pakai yang tidak perlu,</w:t>
      </w:r>
      <w:r>
        <w:t xml:space="preserve"> </w:t>
      </w:r>
      <w:r>
        <w:t xml:space="preserve">penggunaan insinerator yang memenuhi standar emisi, dan penanganan</w:t>
      </w:r>
      <w:r>
        <w:t xml:space="preserve"> </w:t>
      </w:r>
      <w:r>
        <w:t xml:space="preserve">plasenta sesuai kearifan lokal yang tidak menimbulkan masalah sanitasi.</w:t>
      </w:r>
    </w:p>
    <w:bookmarkEnd w:id="120"/>
    <w:bookmarkStart w:id="121" w:name="X19470db105d0a5cb9b7e726082860ede8322ae9"/>
    <w:p>
      <w:pPr>
        <w:pStyle w:val="Heading4"/>
      </w:pPr>
      <w:r>
        <w:t xml:space="preserve">b. Efisiensi Energi di Ruang Operasi Obstetri</w:t>
      </w:r>
    </w:p>
    <w:p>
      <w:pPr>
        <w:pStyle w:val="FirstParagraph"/>
      </w:pPr>
      <w:r>
        <w:t xml:space="preserve">Ruang operasi adalah konsumen energi terbesar di fasilitas kesehatan —</w:t>
      </w:r>
      <w:r>
        <w:t xml:space="preserve"> </w:t>
      </w:r>
      <w:r>
        <w:t xml:space="preserve">dengan sistem pendingin udara yang beroperasi 24 jam, pencahayaan</w:t>
      </w:r>
      <w:r>
        <w:t xml:space="preserve"> </w:t>
      </w:r>
      <w:r>
        <w:t xml:space="preserve">intensif, dan peralatan medis yang berdaya tinggi. Langkah-langkah</w:t>
      </w:r>
      <w:r>
        <w:t xml:space="preserve"> </w:t>
      </w:r>
      <w:r>
        <w:t xml:space="preserve">efisiensi energi yang feasible: sensor gerak untuk pencahayaan di area</w:t>
      </w:r>
      <w:r>
        <w:t xml:space="preserve"> </w:t>
      </w:r>
      <w:r>
        <w:t xml:space="preserve">non-operasional, pemilihan peralatan medis dengan label hemat energi,</w:t>
      </w:r>
      <w:r>
        <w:t xml:space="preserve"> </w:t>
      </w:r>
      <w:r>
        <w:t xml:space="preserve">pengaturan suhu ruang yang optimal tanpa over-cooling, dan transisi ke</w:t>
      </w:r>
      <w:r>
        <w:t xml:space="preserve"> </w:t>
      </w:r>
      <w:r>
        <w:t xml:space="preserve">sumber energi terbarukan (panel surya) untuk fasilitas yang</w:t>
      </w:r>
      <w:r>
        <w:t xml:space="preserve"> </w:t>
      </w:r>
      <w:r>
        <w:t xml:space="preserve">memungkinkan. Selain mengurangi jejak karbon, efisiensi energi juga</w:t>
      </w:r>
      <w:r>
        <w:t xml:space="preserve"> </w:t>
      </w:r>
      <w:r>
        <w:t xml:space="preserve">mengurangi tagihan listrik yang berarti lebih banyak sumber daya untuk</w:t>
      </w:r>
      <w:r>
        <w:t xml:space="preserve"> </w:t>
      </w:r>
      <w:r>
        <w:t xml:space="preserve">pelayanan klinis.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Cs/>
          <w:b/>
        </w:rPr>
        <w:t xml:space="preserve">BAGIAN IX</w:t>
      </w:r>
    </w:p>
    <w:p>
      <w:pPr>
        <w:pStyle w:val="BodyText"/>
      </w:pPr>
      <w:r>
        <w:rPr>
          <w:bCs/>
          <w:b/>
        </w:rPr>
        <w:t xml:space="preserve">PANDUAN PRAKTIS DAN STUDI KASUS</w:t>
      </w:r>
    </w:p>
    <w:p>
      <w:pPr>
        <w:pStyle w:val="BodyText"/>
      </w:pPr>
      <w:r>
        <w:rPr>
          <w:iCs/>
          <w:i/>
        </w:rPr>
        <w:t xml:space="preserve">Algoritma, checklist, dan pelajaran dari lapangan Indonesia</w:t>
      </w:r>
    </w:p>
    <w:p>
      <w:pPr>
        <w:pStyle w:val="BodyText"/>
      </w:pPr>
      <w:r>
        <w:t xml:space="preserve"> </w:t>
      </w:r>
    </w:p>
    <w:bookmarkEnd w:id="121"/>
    <w:bookmarkEnd w:id="122"/>
    <w:bookmarkStart w:id="123" w:name="X422b3bee44643319a5c2f81ceb529f40236c9a9"/>
    <w:p>
      <w:pPr>
        <w:pStyle w:val="Heading3"/>
      </w:pPr>
      <w:r>
        <w:t xml:space="preserve">Referensi — BAB 5 — Perubahan Iklim dan Kesehatan Maternal</w:t>
      </w:r>
    </w:p>
    <w:p>
      <w:pPr>
        <w:numPr>
          <w:ilvl w:val="0"/>
          <w:numId w:val="1012"/>
        </w:numPr>
      </w:pPr>
      <w:r>
        <w:t xml:space="preserve">Watts N, Amann M, Arnell N, et al. (2019). The 2019 report of The</w:t>
      </w:r>
      <w:r>
        <w:t xml:space="preserve"> </w:t>
      </w:r>
      <w:r>
        <w:t xml:space="preserve">Lancet Countdown on health and climate change. Lancet,</w:t>
      </w:r>
      <w:r>
        <w:t xml:space="preserve"> </w:t>
      </w:r>
      <w:r>
        <w:t xml:space="preserve">394(10211):1836–1878. https://doi.org/10.1016/S0140-6736(19)32596-6</w:t>
      </w:r>
    </w:p>
    <w:p>
      <w:pPr>
        <w:numPr>
          <w:ilvl w:val="0"/>
          <w:numId w:val="1012"/>
        </w:numPr>
      </w:pPr>
      <w:r>
        <w:t xml:space="preserve">World Health Organization. (2021). Climate Change and Health. Fact</w:t>
      </w:r>
      <w:r>
        <w:t xml:space="preserve"> </w:t>
      </w:r>
      <w:r>
        <w:t xml:space="preserve">Sheet. Geneva: WHO.</w:t>
      </w:r>
      <w:r>
        <w:t xml:space="preserve"> </w:t>
      </w:r>
      <w:r>
        <w:t xml:space="preserve">https://www.who.int/news-room/fact-sheets/detail/climate-change-and-health</w:t>
      </w:r>
    </w:p>
    <w:p>
      <w:pPr>
        <w:numPr>
          <w:ilvl w:val="0"/>
          <w:numId w:val="1012"/>
        </w:numPr>
      </w:pPr>
      <w:r>
        <w:t xml:space="preserve">Intergovernmental Panel on Climate Change (IPCC). (2022). Climate</w:t>
      </w:r>
      <w:r>
        <w:t xml:space="preserve"> </w:t>
      </w:r>
      <w:r>
        <w:t xml:space="preserve">Change 2022: Impacts, Adaptation and Vulnerability. Working Group II</w:t>
      </w:r>
      <w:r>
        <w:t xml:space="preserve"> </w:t>
      </w:r>
      <w:r>
        <w:t xml:space="preserve">— Sixth Assessment Report. Cambridge: Cambridge University Press.</w:t>
      </w:r>
      <w:r>
        <w:t xml:space="preserve"> </w:t>
      </w:r>
      <w:r>
        <w:t xml:space="preserve">https://www.ipcc.ch/report/ar6/wg2/</w:t>
      </w:r>
    </w:p>
    <w:p>
      <w:pPr>
        <w:numPr>
          <w:ilvl w:val="0"/>
          <w:numId w:val="1012"/>
        </w:numPr>
      </w:pPr>
      <w:r>
        <w:t xml:space="preserve">Rylander C, Odland JO, Sandanger TM. (2013). Climate change and the</w:t>
      </w:r>
      <w:r>
        <w:t xml:space="preserve"> </w:t>
      </w:r>
      <w:r>
        <w:t xml:space="preserve">potential effects on maternal and pregnancy outcomes. Global Health</w:t>
      </w:r>
      <w:r>
        <w:t xml:space="preserve"> </w:t>
      </w:r>
      <w:r>
        <w:t xml:space="preserve">Action, 6(1):19538. https://doi.org/10.3402/gha.v6i0.19538</w:t>
      </w:r>
    </w:p>
    <w:p>
      <w:pPr>
        <w:numPr>
          <w:ilvl w:val="0"/>
          <w:numId w:val="1012"/>
        </w:numPr>
      </w:pPr>
      <w:r>
        <w:t xml:space="preserve">Ha S, Zhu Y, Liu D, et al. (2017). Ambient temperature and early</w:t>
      </w:r>
      <w:r>
        <w:t xml:space="preserve"> </w:t>
      </w:r>
      <w:r>
        <w:t xml:space="preserve">delivery of singleton pregnancies. Environmental Health</w:t>
      </w:r>
      <w:r>
        <w:t xml:space="preserve"> </w:t>
      </w:r>
      <w:r>
        <w:t xml:space="preserve">Perspectives, 125(3):453–459. https://doi.org/10.1289/EHP97</w:t>
      </w:r>
    </w:p>
    <w:p>
      <w:pPr>
        <w:numPr>
          <w:ilvl w:val="0"/>
          <w:numId w:val="1012"/>
        </w:numPr>
      </w:pPr>
      <w:r>
        <w:t xml:space="preserve">Costello A, Abbas M, Allen A, et al. (2009). Managing the health</w:t>
      </w:r>
      <w:r>
        <w:t xml:space="preserve"> </w:t>
      </w:r>
      <w:r>
        <w:t xml:space="preserve">effects of climate change: Lancet and UCL Institute for Global</w:t>
      </w:r>
      <w:r>
        <w:t xml:space="preserve"> </w:t>
      </w:r>
      <w:r>
        <w:t xml:space="preserve">Health Commission. Lancet, 373(9676):1693–1733.</w:t>
      </w:r>
      <w:r>
        <w:t xml:space="preserve"> </w:t>
      </w:r>
      <w:r>
        <w:t xml:space="preserve">https://doi.org/10.1016/S0140-6736(09)60935-1</w:t>
      </w:r>
    </w:p>
    <w:p>
      <w:pPr>
        <w:numPr>
          <w:ilvl w:val="0"/>
          <w:numId w:val="1012"/>
        </w:numPr>
      </w:pPr>
      <w:r>
        <w:t xml:space="preserve">Health Care Without Harm. (2020). Health Care's Climate Footprint.</w:t>
      </w:r>
      <w:r>
        <w:t xml:space="preserve"> </w:t>
      </w:r>
      <w:r>
        <w:t xml:space="preserve">Reston: HCWH.</w:t>
      </w:r>
      <w:r>
        <w:t xml:space="preserve"> </w:t>
      </w:r>
      <w:r>
        <w:t xml:space="preserve">https://noharm-global.org/documents/health-cares-climate-footprint-report</w:t>
      </w:r>
    </w:p>
    <w:p>
      <w:pPr>
        <w:numPr>
          <w:ilvl w:val="0"/>
          <w:numId w:val="1012"/>
        </w:numPr>
      </w:pPr>
      <w:r>
        <w:t xml:space="preserve">Kementerian Kesehatan RI. (2022). Peta Jalan Adaptasi Perubahan</w:t>
      </w:r>
      <w:r>
        <w:t xml:space="preserve"> </w:t>
      </w:r>
      <w:r>
        <w:t xml:space="preserve">Iklim Sektor Kesehatan Indonesia. Jakarta: Kemenkes.</w:t>
      </w:r>
      <w:r>
        <w:t xml:space="preserve"> </w:t>
      </w:r>
      <w:r>
        <w:t xml:space="preserve">https://www.kemkes.go.id</w:t>
      </w:r>
    </w:p>
    <w:p>
      <w:pPr>
        <w:numPr>
          <w:ilvl w:val="0"/>
          <w:numId w:val="1012"/>
        </w:numPr>
      </w:pPr>
      <w:r>
        <w:t xml:space="preserve">Haines A, Kovats RS, Campbell-Lendrum D, et al. (2006). Climate</w:t>
      </w:r>
      <w:r>
        <w:t xml:space="preserve"> </w:t>
      </w:r>
      <w:r>
        <w:t xml:space="preserve">change and human health: impacts, vulnerability and public health.</w:t>
      </w:r>
      <w:r>
        <w:t xml:space="preserve"> </w:t>
      </w:r>
      <w:r>
        <w:t xml:space="preserve">Public Health, 120(7):585–596.</w:t>
      </w:r>
      <w:r>
        <w:t xml:space="preserve"> </w:t>
      </w:r>
      <w:r>
        <w:t xml:space="preserve">https://doi.org/10.1016/j.puhe.2006.01.002</w:t>
      </w:r>
    </w:p>
    <w:p>
      <w:pPr>
        <w:numPr>
          <w:ilvl w:val="0"/>
          <w:numId w:val="1012"/>
        </w:numPr>
      </w:pPr>
      <w:r>
        <w:t xml:space="preserve">Badan Nasional Penanggulangan Bencana (BNPB). (2023). Indeks Risiko</w:t>
      </w:r>
      <w:r>
        <w:t xml:space="preserve"> </w:t>
      </w:r>
      <w:r>
        <w:t xml:space="preserve">Bencana Indonesia 2023. Jakarta: BNPB. https://www.bnpb.go.id</w:t>
      </w:r>
    </w:p>
    <w:p>
      <w:pPr>
        <w:pStyle w:val="FirstParagraph"/>
      </w:pPr>
      <w:r>
        <w:rPr>
          <w:bCs/>
          <w:b/>
        </w:rPr>
        <w:t xml:space="preserve">BAB 24-25</w:t>
      </w:r>
    </w:p>
    <w:p>
      <w:pPr>
        <w:pStyle w:val="BodyText"/>
      </w:pPr>
      <w:r>
        <w:rPr>
          <w:bCs/>
          <w:b/>
        </w:rPr>
        <w:t xml:space="preserve">Panduan Klinis, Algoritma, dan Studi Kasus</w:t>
      </w:r>
    </w:p>
    <w:p>
      <w:pPr>
        <w:pStyle w:val="BodyText"/>
      </w:pPr>
      <w:r>
        <w:t xml:space="preserve"> </w:t>
      </w:r>
    </w:p>
    <w:p>
      <w:pPr>
        <w:pStyle w:val="BlockText"/>
      </w:pPr>
      <w:r>
        <w:rPr>
          <w:iCs/>
          <w:i/>
        </w:rPr>
        <w:t xml:space="preserve">Teori tanpa praktik adalah peta tanpa kaki. Bagian terakhir ini</w:t>
      </w:r>
      <w:r>
        <w:rPr>
          <w:iCs/>
          <w:i/>
        </w:rPr>
        <w:t xml:space="preserve"> </w:t>
      </w:r>
      <w:r>
        <w:rPr>
          <w:iCs/>
          <w:i/>
        </w:rPr>
        <w:t xml:space="preserve">menghadirkan algoritma yang siap dipakai, checklist yang menyelamatkan</w:t>
      </w:r>
      <w:r>
        <w:rPr>
          <w:iCs/>
          <w:i/>
        </w:rPr>
        <w:t xml:space="preserve"> </w:t>
      </w:r>
      <w:r>
        <w:rPr>
          <w:iCs/>
          <w:i/>
        </w:rPr>
        <w:t xml:space="preserve">nyawa, dan kasus-kasus nyata dari lapangan Indonesia yang</w:t>
      </w:r>
      <w:r>
        <w:rPr>
          <w:iCs/>
          <w:i/>
        </w:rPr>
        <w:t xml:space="preserve"> </w:t>
      </w:r>
      <w:r>
        <w:rPr>
          <w:iCs/>
          <w:i/>
        </w:rPr>
        <w:t xml:space="preserve">mengintegrasikan semua yang telah Anda pelajari menjadi kecerdasan</w:t>
      </w:r>
      <w:r>
        <w:rPr>
          <w:iCs/>
          <w:i/>
        </w:rPr>
        <w:t xml:space="preserve"> </w:t>
      </w:r>
      <w:r>
        <w:rPr>
          <w:iCs/>
          <w:i/>
        </w:rPr>
        <w:t xml:space="preserve">klinis yang sesungguhnya.</w:t>
      </w:r>
    </w:p>
    <w:bookmarkEnd w:id="123"/>
    <w:bookmarkEnd w:id="124"/>
    <w:bookmarkEnd w:id="125"/>
    <w:sectPr w:rsidR="00363485">
      <w:pgSz w:h="16838" w:w="11906"/>
      <w:pgMar w:bottom="720" w:footer="708" w:gutter="0" w:header="708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EC17" w14:textId="0C766428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Landasan Ilmu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F7DC" w14:textId="34ED0808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Kebijakan dan Hukum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38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D035" w14:textId="0459E8E9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Pelayanan Maternal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61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3527" w14:textId="0848E97F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Ginekologi Sosial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102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9521" w14:textId="70325F1C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Teknologi dan Inovasi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137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C3CC" w14:textId="5777BB4B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Program dan Penelitian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160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F4F3" w14:textId="27590B7B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Manajemen dan Kepemimpinan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195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965C" w14:textId="1E1A425B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Isu Khusus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213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4D61" w14:textId="70705A46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Panduan dan Lampiran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226</w: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F47D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 — Landasan Ilmu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6156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II — Kebijakan dan Hukum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BD03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III — Pelayanan Maternal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69B3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IV — Ginekologi Sosial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9D54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 — Teknologi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0C2A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VI — Program dan Penelitian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68B4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VII — Manajemen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7E89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VIII — Isu Khusus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CC99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IX — Panduan Praktis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2F273C"/>
    <w:multiLevelType w:val="hybridMultilevel"/>
    <w:tmpl w:val="C2D84FBE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015B243F"/>
    <w:multiLevelType w:val="hybridMultilevel"/>
    <w:tmpl w:val="98D48A16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">
    <w:nsid w:val="03A45C84"/>
    <w:multiLevelType w:val="hybridMultilevel"/>
    <w:tmpl w:val="F0B6174C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FC6649"/>
    <w:multiLevelType w:val="hybridMultilevel"/>
    <w:tmpl w:val="ABA09EEC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0E003993"/>
    <w:multiLevelType w:val="hybridMultilevel"/>
    <w:tmpl w:val="02E205F8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5">
    <w:nsid w:val="0F864A45"/>
    <w:multiLevelType w:val="hybridMultilevel"/>
    <w:tmpl w:val="FBBE3156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6">
    <w:nsid w:val="11680437"/>
    <w:multiLevelType w:val="hybridMultilevel"/>
    <w:tmpl w:val="F26CDACC"/>
    <w:lvl w:ilvl="0" w:tplc="84985688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7">
    <w:nsid w:val="138B6A42"/>
    <w:multiLevelType w:val="hybridMultilevel"/>
    <w:tmpl w:val="619C1448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8">
    <w:nsid w:val="13AB4100"/>
    <w:multiLevelType w:val="hybridMultilevel"/>
    <w:tmpl w:val="A09CE796"/>
    <w:lvl w:ilvl="0" w:tplc="6F6AB69A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9">
    <w:nsid w:val="1B820384"/>
    <w:multiLevelType w:val="hybridMultilevel"/>
    <w:tmpl w:val="13F87FC4"/>
    <w:lvl w:ilvl="0" w:tplc="AA3C372C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10">
    <w:nsid w:val="1DE922E0"/>
    <w:multiLevelType w:val="hybridMultilevel"/>
    <w:tmpl w:val="2DC0986E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1">
    <w:nsid w:val="1E252231"/>
    <w:multiLevelType w:val="hybridMultilevel"/>
    <w:tmpl w:val="E512AA82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2">
    <w:nsid w:val="20C43962"/>
    <w:multiLevelType w:val="hybridMultilevel"/>
    <w:tmpl w:val="570CEE92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3">
    <w:nsid w:val="260C607E"/>
    <w:multiLevelType w:val="hybridMultilevel"/>
    <w:tmpl w:val="FA0E83E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90A2B40"/>
    <w:multiLevelType w:val="hybridMultilevel"/>
    <w:tmpl w:val="04E404F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2C016BE3"/>
    <w:multiLevelType w:val="hybridMultilevel"/>
    <w:tmpl w:val="40682CF0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303E72E4"/>
    <w:multiLevelType w:val="hybridMultilevel"/>
    <w:tmpl w:val="EB6E843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3C606F3D"/>
    <w:multiLevelType w:val="hybridMultilevel"/>
    <w:tmpl w:val="4D6CBDFE"/>
    <w:lvl w:ilvl="0" w:tplc="BB960558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18">
    <w:nsid w:val="434C0F70"/>
    <w:multiLevelType w:val="hybridMultilevel"/>
    <w:tmpl w:val="C57262E8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9">
    <w:nsid w:val="49BF6314"/>
    <w:multiLevelType w:val="hybridMultilevel"/>
    <w:tmpl w:val="6B922562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4C982175"/>
    <w:multiLevelType w:val="hybridMultilevel"/>
    <w:tmpl w:val="7646E03E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1">
    <w:nsid w:val="4F5F260B"/>
    <w:multiLevelType w:val="hybridMultilevel"/>
    <w:tmpl w:val="719CE58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55F73141"/>
    <w:multiLevelType w:val="hybridMultilevel"/>
    <w:tmpl w:val="9DA2E7D4"/>
    <w:lvl w:ilvl="0" w:tplc="6352B27E">
      <w:start w:val="1"/>
      <w:numFmt w:val="bullet"/>
      <w:lvlText w:val="●"/>
      <w:lvlJc w:val="left"/>
      <w:pPr>
        <w:ind w:hanging="360" w:left="720"/>
      </w:pPr>
    </w:lvl>
    <w:lvl w:ilvl="1" w:tplc="2924B3B2">
      <w:start w:val="1"/>
      <w:numFmt w:val="bullet"/>
      <w:lvlText w:val="○"/>
      <w:lvlJc w:val="left"/>
      <w:pPr>
        <w:ind w:hanging="360" w:left="1440"/>
      </w:pPr>
    </w:lvl>
    <w:lvl w:ilvl="2" w:tplc="2CBA4308">
      <w:start w:val="1"/>
      <w:numFmt w:val="bullet"/>
      <w:lvlText w:val="■"/>
      <w:lvlJc w:val="left"/>
      <w:pPr>
        <w:ind w:hanging="360" w:left="2160"/>
      </w:pPr>
    </w:lvl>
    <w:lvl w:ilvl="3" w:tplc="DC821AA0">
      <w:start w:val="1"/>
      <w:numFmt w:val="bullet"/>
      <w:lvlText w:val="●"/>
      <w:lvlJc w:val="left"/>
      <w:pPr>
        <w:ind w:hanging="360" w:left="2880"/>
      </w:pPr>
    </w:lvl>
    <w:lvl w:ilvl="4" w:tplc="C7AE07FA">
      <w:start w:val="1"/>
      <w:numFmt w:val="bullet"/>
      <w:lvlText w:val="○"/>
      <w:lvlJc w:val="left"/>
      <w:pPr>
        <w:ind w:hanging="360" w:left="3600"/>
      </w:pPr>
    </w:lvl>
    <w:lvl w:ilvl="5" w:tplc="51F483A4">
      <w:start w:val="1"/>
      <w:numFmt w:val="bullet"/>
      <w:lvlText w:val="■"/>
      <w:lvlJc w:val="left"/>
      <w:pPr>
        <w:ind w:hanging="360" w:left="4320"/>
      </w:pPr>
    </w:lvl>
    <w:lvl w:ilvl="6" w:tplc="C4548642">
      <w:start w:val="1"/>
      <w:numFmt w:val="bullet"/>
      <w:lvlText w:val="●"/>
      <w:lvlJc w:val="left"/>
      <w:pPr>
        <w:ind w:hanging="360" w:left="5040"/>
      </w:pPr>
    </w:lvl>
    <w:lvl w:ilvl="7" w:tplc="046606B8">
      <w:start w:val="1"/>
      <w:numFmt w:val="bullet"/>
      <w:lvlText w:val="●"/>
      <w:lvlJc w:val="left"/>
      <w:pPr>
        <w:ind w:hanging="360" w:left="5760"/>
      </w:pPr>
    </w:lvl>
    <w:lvl w:ilvl="8" w:tplc="31784DA2">
      <w:start w:val="1"/>
      <w:numFmt w:val="bullet"/>
      <w:lvlText w:val="●"/>
      <w:lvlJc w:val="left"/>
      <w:pPr>
        <w:ind w:hanging="360" w:left="6480"/>
      </w:pPr>
    </w:lvl>
  </w:abstractNum>
  <w:abstractNum w15:restartNumberingAfterBreak="0" w:abstractNumId="23">
    <w:nsid w:val="5DD50CFA"/>
    <w:multiLevelType w:val="hybridMultilevel"/>
    <w:tmpl w:val="23EEB102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4">
    <w:nsid w:val="5FF20F69"/>
    <w:multiLevelType w:val="hybridMultilevel"/>
    <w:tmpl w:val="B2306500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5">
    <w:nsid w:val="71AC1B99"/>
    <w:multiLevelType w:val="hybridMultilevel"/>
    <w:tmpl w:val="D6B0DBCA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6">
    <w:nsid w:val="7298771C"/>
    <w:multiLevelType w:val="hybridMultilevel"/>
    <w:tmpl w:val="C41CF278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FFFFFFFF">
      <w:start w:val="1"/>
      <w:numFmt w:val="lowerLetter"/>
      <w:lvlText w:val="%2."/>
      <w:lvlJc w:val="left"/>
      <w:pPr>
        <w:ind w:hanging="360" w:left="1080"/>
      </w:pPr>
    </w:lvl>
    <w:lvl w:ilvl="2" w:tentative="1" w:tplc="FFFFFFFF">
      <w:start w:val="1"/>
      <w:numFmt w:val="lowerRoman"/>
      <w:lvlText w:val="%3."/>
      <w:lvlJc w:val="right"/>
      <w:pPr>
        <w:ind w:hanging="180" w:left="1800"/>
      </w:pPr>
    </w:lvl>
    <w:lvl w:ilvl="3" w:tentative="1" w:tplc="FFFFFFFF">
      <w:start w:val="1"/>
      <w:numFmt w:val="decimal"/>
      <w:lvlText w:val="%4."/>
      <w:lvlJc w:val="left"/>
      <w:pPr>
        <w:ind w:hanging="360" w:left="2520"/>
      </w:pPr>
    </w:lvl>
    <w:lvl w:ilvl="4" w:tentative="1" w:tplc="FFFFFFFF">
      <w:start w:val="1"/>
      <w:numFmt w:val="lowerLetter"/>
      <w:lvlText w:val="%5."/>
      <w:lvlJc w:val="left"/>
      <w:pPr>
        <w:ind w:hanging="360" w:left="3240"/>
      </w:pPr>
    </w:lvl>
    <w:lvl w:ilvl="5" w:tentative="1" w:tplc="FFFFFFFF">
      <w:start w:val="1"/>
      <w:numFmt w:val="lowerRoman"/>
      <w:lvlText w:val="%6."/>
      <w:lvlJc w:val="right"/>
      <w:pPr>
        <w:ind w:hanging="180" w:left="3960"/>
      </w:pPr>
    </w:lvl>
    <w:lvl w:ilvl="6" w:tentative="1" w:tplc="FFFFFFFF">
      <w:start w:val="1"/>
      <w:numFmt w:val="decimal"/>
      <w:lvlText w:val="%7."/>
      <w:lvlJc w:val="left"/>
      <w:pPr>
        <w:ind w:hanging="360" w:left="4680"/>
      </w:pPr>
    </w:lvl>
    <w:lvl w:ilvl="7" w:tentative="1" w:tplc="FFFFFFFF">
      <w:start w:val="1"/>
      <w:numFmt w:val="lowerLetter"/>
      <w:lvlText w:val="%8."/>
      <w:lvlJc w:val="left"/>
      <w:pPr>
        <w:ind w:hanging="360" w:left="5400"/>
      </w:pPr>
    </w:lvl>
    <w:lvl w:ilvl="8" w:tentative="1" w:tplc="FFFFFFFF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7">
    <w:nsid w:val="77C62FFE"/>
    <w:multiLevelType w:val="hybridMultilevel"/>
    <w:tmpl w:val="A03CCBDA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8">
    <w:nsid w:val="7BD4398D"/>
    <w:multiLevelType w:val="hybridMultilevel"/>
    <w:tmpl w:val="B29ECD0E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9">
    <w:nsid w:val="7D255572"/>
    <w:multiLevelType w:val="hybridMultilevel"/>
    <w:tmpl w:val="7DD83C5E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412">
    <w:nsid w:val="A99412"/>
    <w:multiLevelType w:val="multilevel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abstractNum w:abstractNumId="99413">
    <w:nsid w:val="A99413"/>
    <w:multiLevelType w:val="multilevel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decimal"/>
      <w:lvlText w:val="%2."/>
      <w:lvlJc w:val="left"/>
      <w:pPr>
        <w:ind w:left="1440" w:hanging="480"/>
      </w:pPr>
    </w:lvl>
    <w:lvl w:ilvl="2">
      <w:start w:val="3"/>
      <w:numFmt w:val="decimal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decimal"/>
      <w:lvlText w:val="%5."/>
      <w:lvlJc w:val="left"/>
      <w:pPr>
        <w:ind w:left="3600" w:hanging="480"/>
      </w:pPr>
    </w:lvl>
    <w:lvl w:ilvl="5">
      <w:start w:val="3"/>
      <w:numFmt w:val="decimal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decimal"/>
      <w:lvlText w:val="%8."/>
      <w:lvlJc w:val="left"/>
      <w:pPr>
        <w:ind w:left="5760" w:hanging="480"/>
      </w:pPr>
    </w:lvl>
    <w:lvl w:ilvl="8">
      <w:start w:val="3"/>
      <w:numFmt w:val="decimal"/>
      <w:lvlText w:val="%9."/>
      <w:lvlJc w:val="left"/>
      <w:pPr>
        <w:ind w:left="6480" w:hanging="480"/>
      </w:pPr>
    </w:lvl>
  </w:abstractNum>
  <w:abstractNum w:abstractNumId="99414">
    <w:nsid w:val="A99414"/>
    <w:multiLevelType w:val="multilevel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decimal"/>
      <w:lvlText w:val="%2."/>
      <w:lvlJc w:val="left"/>
      <w:pPr>
        <w:ind w:left="1440" w:hanging="480"/>
      </w:pPr>
    </w:lvl>
    <w:lvl w:ilvl="2">
      <w:start w:val="4"/>
      <w:numFmt w:val="decimal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decimal"/>
      <w:lvlText w:val="%5."/>
      <w:lvlJc w:val="left"/>
      <w:pPr>
        <w:ind w:left="3600" w:hanging="480"/>
      </w:pPr>
    </w:lvl>
    <w:lvl w:ilvl="5">
      <w:start w:val="4"/>
      <w:numFmt w:val="decimal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decimal"/>
      <w:lvlText w:val="%8."/>
      <w:lvlJc w:val="left"/>
      <w:pPr>
        <w:ind w:left="5760" w:hanging="480"/>
      </w:pPr>
    </w:lvl>
    <w:lvl w:ilvl="8">
      <w:start w:val="4"/>
      <w:numFmt w:val="decimal"/>
      <w:lvlText w:val="%9."/>
      <w:lvlJc w:val="left"/>
      <w:pPr>
        <w:ind w:left="6480" w:hanging="480"/>
      </w:pPr>
    </w:lvl>
  </w:abstractNum>
  <w:abstractNum w:abstractNumId="99415">
    <w:nsid w:val="A99415"/>
    <w:multiLevelType w:val="multilevel"/>
    <w:lvl w:ilvl="0">
      <w:start w:val="5"/>
      <w:numFmt w:val="decimal"/>
      <w:lvlText w:val="%1."/>
      <w:lvlJc w:val="left"/>
      <w:pPr>
        <w:ind w:left="720" w:hanging="480"/>
      </w:pPr>
    </w:lvl>
    <w:lvl w:ilvl="1">
      <w:start w:val="5"/>
      <w:numFmt w:val="decimal"/>
      <w:lvlText w:val="%2."/>
      <w:lvlJc w:val="left"/>
      <w:pPr>
        <w:ind w:left="1440" w:hanging="480"/>
      </w:pPr>
    </w:lvl>
    <w:lvl w:ilvl="2">
      <w:start w:val="5"/>
      <w:numFmt w:val="decimal"/>
      <w:lvlText w:val="%3."/>
      <w:lvlJc w:val="left"/>
      <w:pPr>
        <w:ind w:left="2160" w:hanging="480"/>
      </w:pPr>
    </w:lvl>
    <w:lvl w:ilvl="3">
      <w:start w:val="5"/>
      <w:numFmt w:val="decimal"/>
      <w:lvlText w:val="%4."/>
      <w:lvlJc w:val="left"/>
      <w:pPr>
        <w:ind w:left="2880" w:hanging="480"/>
      </w:pPr>
    </w:lvl>
    <w:lvl w:ilvl="4">
      <w:start w:val="5"/>
      <w:numFmt w:val="decimal"/>
      <w:lvlText w:val="%5."/>
      <w:lvlJc w:val="left"/>
      <w:pPr>
        <w:ind w:left="3600" w:hanging="480"/>
      </w:pPr>
    </w:lvl>
    <w:lvl w:ilvl="5">
      <w:start w:val="5"/>
      <w:numFmt w:val="decimal"/>
      <w:lvlText w:val="%6."/>
      <w:lvlJc w:val="left"/>
      <w:pPr>
        <w:ind w:left="4320" w:hanging="480"/>
      </w:pPr>
    </w:lvl>
    <w:lvl w:ilvl="6">
      <w:start w:val="5"/>
      <w:numFmt w:val="decimal"/>
      <w:lvlText w:val="%7."/>
      <w:lvlJc w:val="left"/>
      <w:pPr>
        <w:ind w:left="5040" w:hanging="480"/>
      </w:pPr>
    </w:lvl>
    <w:lvl w:ilvl="7">
      <w:start w:val="5"/>
      <w:numFmt w:val="decimal"/>
      <w:lvlText w:val="%8."/>
      <w:lvlJc w:val="left"/>
      <w:pPr>
        <w:ind w:left="5760" w:hanging="480"/>
      </w:pPr>
    </w:lvl>
    <w:lvl w:ilvl="8">
      <w:start w:val="5"/>
      <w:numFmt w:val="decimal"/>
      <w:lvlText w:val="%9."/>
      <w:lvlJc w:val="left"/>
      <w:pPr>
        <w:ind w:left="6480" w:hanging="480"/>
      </w:pPr>
    </w:lvl>
  </w:abstractNum>
  <w:abstractNum w:abstractNumId="99418">
    <w:nsid w:val="A99418"/>
    <w:multiLevelType w:val="multilevel"/>
    <w:lvl w:ilvl="0">
      <w:start w:val="8"/>
      <w:numFmt w:val="decimal"/>
      <w:lvlText w:val="%1."/>
      <w:lvlJc w:val="left"/>
      <w:pPr>
        <w:ind w:left="720" w:hanging="480"/>
      </w:pPr>
    </w:lvl>
    <w:lvl w:ilvl="1">
      <w:start w:val="8"/>
      <w:numFmt w:val="decimal"/>
      <w:lvlText w:val="%2."/>
      <w:lvlJc w:val="left"/>
      <w:pPr>
        <w:ind w:left="1440" w:hanging="480"/>
      </w:pPr>
    </w:lvl>
    <w:lvl w:ilvl="2">
      <w:start w:val="8"/>
      <w:numFmt w:val="decimal"/>
      <w:lvlText w:val="%3."/>
      <w:lvlJc w:val="left"/>
      <w:pPr>
        <w:ind w:left="2160" w:hanging="480"/>
      </w:pPr>
    </w:lvl>
    <w:lvl w:ilvl="3">
      <w:start w:val="8"/>
      <w:numFmt w:val="decimal"/>
      <w:lvlText w:val="%4."/>
      <w:lvlJc w:val="left"/>
      <w:pPr>
        <w:ind w:left="2880" w:hanging="480"/>
      </w:pPr>
    </w:lvl>
    <w:lvl w:ilvl="4">
      <w:start w:val="8"/>
      <w:numFmt w:val="decimal"/>
      <w:lvlText w:val="%5."/>
      <w:lvlJc w:val="left"/>
      <w:pPr>
        <w:ind w:left="3600" w:hanging="480"/>
      </w:pPr>
    </w:lvl>
    <w:lvl w:ilvl="5">
      <w:start w:val="8"/>
      <w:numFmt w:val="decimal"/>
      <w:lvlText w:val="%6."/>
      <w:lvlJc w:val="left"/>
      <w:pPr>
        <w:ind w:left="4320" w:hanging="480"/>
      </w:pPr>
    </w:lvl>
    <w:lvl w:ilvl="6">
      <w:start w:val="8"/>
      <w:numFmt w:val="decimal"/>
      <w:lvlText w:val="%7."/>
      <w:lvlJc w:val="left"/>
      <w:pPr>
        <w:ind w:left="5040" w:hanging="480"/>
      </w:pPr>
    </w:lvl>
    <w:lvl w:ilvl="7">
      <w:start w:val="8"/>
      <w:numFmt w:val="decimal"/>
      <w:lvlText w:val="%8."/>
      <w:lvlJc w:val="left"/>
      <w:pPr>
        <w:ind w:left="5760" w:hanging="480"/>
      </w:pPr>
    </w:lvl>
    <w:lvl w:ilvl="8">
      <w:start w:val="8"/>
      <w:numFmt w:val="decimal"/>
      <w:lvlText w:val="%9."/>
      <w:lvlJc w:val="left"/>
      <w:pPr>
        <w:ind w:left="6480" w:hanging="480"/>
      </w:pPr>
    </w:lvl>
  </w:abstractNum>
  <w:abstractNum w:abstractNumId="99419">
    <w:nsid w:val="A99419"/>
    <w:multiLevelType w:val="multilevel"/>
    <w:lvl w:ilvl="0">
      <w:start w:val="9"/>
      <w:numFmt w:val="decimal"/>
      <w:lvlText w:val="%1."/>
      <w:lvlJc w:val="left"/>
      <w:pPr>
        <w:ind w:left="720" w:hanging="480"/>
      </w:pPr>
    </w:lvl>
    <w:lvl w:ilvl="1">
      <w:start w:val="9"/>
      <w:numFmt w:val="decimal"/>
      <w:lvlText w:val="%2."/>
      <w:lvlJc w:val="left"/>
      <w:pPr>
        <w:ind w:left="1440" w:hanging="480"/>
      </w:pPr>
    </w:lvl>
    <w:lvl w:ilvl="2">
      <w:start w:val="9"/>
      <w:numFmt w:val="decimal"/>
      <w:lvlText w:val="%3."/>
      <w:lvlJc w:val="left"/>
      <w:pPr>
        <w:ind w:left="2160" w:hanging="480"/>
      </w:pPr>
    </w:lvl>
    <w:lvl w:ilvl="3">
      <w:start w:val="9"/>
      <w:numFmt w:val="decimal"/>
      <w:lvlText w:val="%4."/>
      <w:lvlJc w:val="left"/>
      <w:pPr>
        <w:ind w:left="2880" w:hanging="480"/>
      </w:pPr>
    </w:lvl>
    <w:lvl w:ilvl="4">
      <w:start w:val="9"/>
      <w:numFmt w:val="decimal"/>
      <w:lvlText w:val="%5."/>
      <w:lvlJc w:val="left"/>
      <w:pPr>
        <w:ind w:left="3600" w:hanging="480"/>
      </w:pPr>
    </w:lvl>
    <w:lvl w:ilvl="5">
      <w:start w:val="9"/>
      <w:numFmt w:val="decimal"/>
      <w:lvlText w:val="%6."/>
      <w:lvlJc w:val="left"/>
      <w:pPr>
        <w:ind w:left="4320" w:hanging="480"/>
      </w:pPr>
    </w:lvl>
    <w:lvl w:ilvl="6">
      <w:start w:val="9"/>
      <w:numFmt w:val="decimal"/>
      <w:lvlText w:val="%7."/>
      <w:lvlJc w:val="left"/>
      <w:pPr>
        <w:ind w:left="5040" w:hanging="480"/>
      </w:pPr>
    </w:lvl>
    <w:lvl w:ilvl="7">
      <w:start w:val="9"/>
      <w:numFmt w:val="decimal"/>
      <w:lvlText w:val="%8."/>
      <w:lvlJc w:val="left"/>
      <w:pPr>
        <w:ind w:left="5760" w:hanging="480"/>
      </w:pPr>
    </w:lvl>
    <w:lvl w:ilvl="8">
      <w:start w:val="9"/>
      <w:numFmt w:val="decimal"/>
      <w:lvlText w:val="%9."/>
      <w:lvlJc w:val="left"/>
      <w:pPr>
        <w:ind w:left="6480" w:hanging="480"/>
      </w:pPr>
    </w:lvl>
  </w:abstractNum>
  <w:num w16cid:durableId="643655053" w:numId="1">
    <w:abstractNumId w:val="22"/>
    <w:lvlOverride w:ilvl="0">
      <w:startOverride w:val="1"/>
    </w:lvlOverride>
  </w:num>
  <w:num w16cid:durableId="2094081594" w:numId="2">
    <w:abstractNumId w:val="8"/>
  </w:num>
  <w:num w16cid:durableId="1359313846" w:numId="3">
    <w:abstractNumId w:val="9"/>
  </w:num>
  <w:num w16cid:durableId="759914060" w:numId="4">
    <w:abstractNumId w:val="17"/>
  </w:num>
  <w:num w16cid:durableId="1906140384" w:numId="5">
    <w:abstractNumId w:val="6"/>
  </w:num>
  <w:num w16cid:durableId="490874195" w:numId="6">
    <w:abstractNumId w:val="4"/>
  </w:num>
  <w:num w16cid:durableId="1854612371" w:numId="7">
    <w:abstractNumId w:val="1"/>
  </w:num>
  <w:num w16cid:durableId="845946660" w:numId="8">
    <w:abstractNumId w:val="20"/>
  </w:num>
  <w:num w16cid:durableId="1417284952" w:numId="9">
    <w:abstractNumId w:val="7"/>
  </w:num>
  <w:num w16cid:durableId="2105148631" w:numId="10">
    <w:abstractNumId w:val="23"/>
  </w:num>
  <w:num w16cid:durableId="1430657154" w:numId="11">
    <w:abstractNumId w:val="28"/>
  </w:num>
  <w:num w16cid:durableId="789473462" w:numId="12">
    <w:abstractNumId w:val="26"/>
  </w:num>
  <w:num w16cid:durableId="579100228" w:numId="13">
    <w:abstractNumId w:val="10"/>
  </w:num>
  <w:num w16cid:durableId="595595180" w:numId="14">
    <w:abstractNumId w:val="27"/>
  </w:num>
  <w:num w16cid:durableId="1941907202" w:numId="15">
    <w:abstractNumId w:val="13"/>
  </w:num>
  <w:num w16cid:durableId="1791045455" w:numId="16">
    <w:abstractNumId w:val="14"/>
  </w:num>
  <w:num w16cid:durableId="2018997771" w:numId="17">
    <w:abstractNumId w:val="21"/>
  </w:num>
  <w:num w16cid:durableId="1129857816" w:numId="18">
    <w:abstractNumId w:val="16"/>
  </w:num>
  <w:num w16cid:durableId="2022662760" w:numId="19">
    <w:abstractNumId w:val="25"/>
  </w:num>
  <w:num w16cid:durableId="672924845" w:numId="20">
    <w:abstractNumId w:val="0"/>
  </w:num>
  <w:num w16cid:durableId="1748990264" w:numId="21">
    <w:abstractNumId w:val="15"/>
  </w:num>
  <w:num w16cid:durableId="2007702710" w:numId="22">
    <w:abstractNumId w:val="12"/>
  </w:num>
  <w:num w16cid:durableId="879242336" w:numId="23">
    <w:abstractNumId w:val="3"/>
  </w:num>
  <w:num w16cid:durableId="1365788256" w:numId="24">
    <w:abstractNumId w:val="5"/>
  </w:num>
  <w:num w16cid:durableId="1012562575" w:numId="25">
    <w:abstractNumId w:val="2"/>
  </w:num>
  <w:num w16cid:durableId="2083677744" w:numId="26">
    <w:abstractNumId w:val="29"/>
  </w:num>
  <w:num w16cid:durableId="2011907521" w:numId="27">
    <w:abstractNumId w:val="19"/>
  </w:num>
  <w:num w16cid:durableId="1735349425" w:numId="28">
    <w:abstractNumId w:val="24"/>
  </w:num>
  <w:num w16cid:durableId="1596596677" w:numId="29">
    <w:abstractNumId w:val="18"/>
  </w:num>
  <w:num w16cid:durableId="1320572807" w:numId="30">
    <w:abstractNumId w:val="11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08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cs="Palatino Linotype" w:eastAsia="Palatino Linotype" w:hAnsi="Palatino Linotype"/>
        <w:sz w:val="22"/>
        <w:szCs w:val="22"/>
        <w:lang w:bidi="ar-SA" w:eastAsia="en-US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uiPriority w:val="9"/>
    <w:qFormat/>
    <w:pPr>
      <w:pBdr>
        <w:bottom w:color="C49A2A" w:space="6" w:sz="6" w:val="single"/>
      </w:pBdr>
      <w:spacing w:after="240" w:before="480"/>
      <w:outlineLvl w:val="0"/>
    </w:pPr>
    <w:rPr>
      <w:b/>
      <w:bCs/>
      <w:color w:val="1B2A4A"/>
      <w:sz w:val="32"/>
      <w:szCs w:val="32"/>
    </w:rPr>
  </w:style>
  <w:style w:styleId="Heading2" w:type="paragraph">
    <w:name w:val="heading 2"/>
    <w:uiPriority w:val="9"/>
    <w:unhideWhenUsed/>
    <w:qFormat/>
    <w:pPr>
      <w:spacing w:after="180" w:before="360"/>
      <w:outlineLvl w:val="1"/>
    </w:pPr>
    <w:rPr>
      <w:b/>
      <w:bCs/>
      <w:color w:val="1B2A4A"/>
      <w:sz w:val="26"/>
      <w:szCs w:val="26"/>
    </w:rPr>
  </w:style>
  <w:style w:styleId="Heading3" w:type="paragraph">
    <w:name w:val="heading 3"/>
    <w:uiPriority w:val="9"/>
    <w:unhideWhenUsed/>
    <w:qFormat/>
    <w:pPr>
      <w:spacing w:after="140" w:before="280"/>
      <w:outlineLvl w:val="2"/>
    </w:pPr>
    <w:rPr>
      <w:b/>
      <w:bCs/>
      <w:color w:val="2E5082"/>
      <w:sz w:val="23"/>
      <w:szCs w:val="23"/>
    </w:rPr>
  </w:style>
  <w:style w:styleId="Heading4" w:type="paragraph">
    <w:name w:val="heading 4"/>
    <w:uiPriority w:val="9"/>
    <w:unhideWhenUsed/>
    <w:qFormat/>
    <w:pPr>
      <w:spacing w:after="100" w:before="200"/>
      <w:outlineLvl w:val="3"/>
    </w:pPr>
    <w:rPr>
      <w:b/>
      <w:bCs/>
      <w:color w:val="1A6B6B"/>
    </w:rPr>
  </w:style>
  <w:style w:styleId="Heading5" w:type="paragraph">
    <w:name w:val="heading 5"/>
    <w:uiPriority w:val="9"/>
    <w:semiHidden/>
    <w:unhideWhenUsed/>
    <w:qFormat/>
    <w:pPr>
      <w:outlineLvl w:val="4"/>
    </w:pPr>
    <w:rPr>
      <w:color w:val="2E74B5"/>
    </w:rPr>
  </w:style>
  <w:style w:styleId="Heading6" w:type="paragraph">
    <w:name w:val="heading 6"/>
    <w:uiPriority w:val="9"/>
    <w:semiHidden/>
    <w:unhideWhenUsed/>
    <w:qFormat/>
    <w:pPr>
      <w:outlineLvl w:val="5"/>
    </w:pPr>
    <w:rPr>
      <w:color w:val="1F4D7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itle" w:type="paragraph">
    <w:name w:val="Title"/>
    <w:uiPriority w:val="10"/>
    <w:qFormat/>
    <w:rPr>
      <w:sz w:val="56"/>
      <w:szCs w:val="56"/>
    </w:rPr>
  </w:style>
  <w:style w:customStyle="1" w:styleId="Strong1" w:type="paragraph">
    <w:name w:val="Strong1"/>
    <w:qFormat/>
    <w:rPr>
      <w:b/>
      <w:bCs/>
    </w:rPr>
  </w:style>
  <w:style w:styleId="ListParagraph" w:type="paragraph">
    <w:name w:val="List Paragraph"/>
    <w:qFormat/>
  </w:style>
  <w:style w:styleId="Hyperlink" w:type="character">
    <w:name w:val="Hyperlink"/>
    <w:uiPriority w:val="99"/>
    <w:unhideWhenUsed/>
    <w:rPr>
      <w:color w:val="0563C1"/>
      <w:u w:val="single"/>
    </w:rPr>
  </w:style>
  <w:style w:styleId="FootnoteReference" w:type="character">
    <w:name w:val="footnote reference"/>
    <w:uiPriority w:val="99"/>
    <w:semiHidden/>
    <w:unhideWhenUsed/>
    <w:rPr>
      <w:vertAlign w:val="superscript"/>
    </w:rPr>
  </w:style>
  <w:style w:styleId="FootnoteText" w:type="paragraph">
    <w:name w:val="footnote text"/>
    <w:link w:val="FootnoteTextChar"/>
    <w:uiPriority w:val="99"/>
    <w:semiHidden/>
    <w:unhideWhenUsed/>
    <w:rPr>
      <w:sz w:val="20"/>
      <w:szCs w:val="20"/>
    </w:rPr>
  </w:style>
  <w:style w:customStyle="1" w:styleId="FootnoteTextChar" w:type="character">
    <w:name w:val="Footnote Text Char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uiPriority w:val="99"/>
    <w:semiHidden/>
    <w:unhideWhenUsed/>
    <w:rPr>
      <w:vertAlign w:val="superscript"/>
    </w:rPr>
  </w:style>
  <w:style w:styleId="EndnoteText" w:type="paragraph">
    <w:name w:val="endnote text"/>
    <w:link w:val="EndnoteTextChar"/>
    <w:uiPriority w:val="99"/>
    <w:semiHidden/>
    <w:unhideWhenUsed/>
    <w:rPr>
      <w:sz w:val="20"/>
      <w:szCs w:val="20"/>
    </w:rPr>
  </w:style>
  <w:style w:customStyle="1" w:styleId="EndnoteTextChar" w:type="character">
    <w:name w:val="Endnote Text Char"/>
    <w:link w:val="EndnoteText"/>
    <w:uiPriority w:val="99"/>
    <w:semiHidden/>
    <w:unhideWhenUsed/>
    <w:rPr>
      <w:sz w:val="20"/>
      <w:szCs w:val="20"/>
    </w:rPr>
  </w:style>
  <w:style w:styleId="UnresolvedMention" w:type="character">
    <w:name w:val="Unresolved Mention"/>
    <w:basedOn w:val="DefaultParagraphFont"/>
    <w:uiPriority w:val="99"/>
    <w:semiHidden/>
    <w:unhideWhenUsed/>
    <w:rsid w:val="00B62205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uiPriority w:val="99"/>
    <w:semiHidden/>
    <w:unhideWhenUsed/>
    <w:rsid w:val="00B62205"/>
    <w:rPr>
      <w:color w:themeColor="followedHyperlink" w:val="954F72"/>
      <w:u w:val="single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6.xml" Type="http://schemas.openxmlformats.org/officeDocument/2006/relationships/header" /><Relationship Id="rId12" Target="header2.xml" Type="http://schemas.openxmlformats.org/officeDocument/2006/relationships/header" /><Relationship Id="rId13" Target="header5.xml" Type="http://schemas.openxmlformats.org/officeDocument/2006/relationships/header" /><Relationship Id="rId14" Target="header9.xml" Type="http://schemas.openxmlformats.org/officeDocument/2006/relationships/header" /><Relationship Id="rId15" Target="header4.xml" Type="http://schemas.openxmlformats.org/officeDocument/2006/relationships/header" /><Relationship Id="rId16" Target="header8.xml" Type="http://schemas.openxmlformats.org/officeDocument/2006/relationships/header" /><Relationship Id="rId17" Target="header3.xml" Type="http://schemas.openxmlformats.org/officeDocument/2006/relationships/header" /><Relationship Id="rId18" Target="footer9.xml" Type="http://schemas.openxmlformats.org/officeDocument/2006/relationships/footer" /><Relationship Id="rId19" Target="footer4.xml" Type="http://schemas.openxmlformats.org/officeDocument/2006/relationships/footer" /><Relationship Id="rId20" Target="footer1.xml" Type="http://schemas.openxmlformats.org/officeDocument/2006/relationships/footer" /><Relationship Id="rId21" Target="footer3.xml" Type="http://schemas.openxmlformats.org/officeDocument/2006/relationships/footer" /><Relationship Id="rId22" Target="footer7.xml" Type="http://schemas.openxmlformats.org/officeDocument/2006/relationships/footer" /><Relationship Id="rId23" Target="footer2.xml" Type="http://schemas.openxmlformats.org/officeDocument/2006/relationships/footer" /><Relationship Id="rId24" Target="footer6.xml" Type="http://schemas.openxmlformats.org/officeDocument/2006/relationships/footer" /><Relationship Id="rId25" Target="footer5.xml" Type="http://schemas.openxmlformats.org/officeDocument/2006/relationships/footer" /><Relationship Id="rId26" Target="footer8.xml" Type="http://schemas.openxmlformats.org/officeDocument/2006/relationships/footer" /><Relationship Type="http://schemas.openxmlformats.org/officeDocument/2006/relationships/hyperlink" Id="rId40" Target="https://apps.who.int/iris/handle/10665/153544" TargetMode="External" /><Relationship Type="http://schemas.openxmlformats.org/officeDocument/2006/relationships/hyperlink" Id="rId66" Target="https://apps.who.int/iris/handle/10665/161442" TargetMode="External" /><Relationship Type="http://schemas.openxmlformats.org/officeDocument/2006/relationships/hyperlink" Id="rId63" Target="https://apps.who.int/iris/handle/10665/250796" TargetMode="External" /><Relationship Type="http://schemas.openxmlformats.org/officeDocument/2006/relationships/hyperlink" Id="rId64" Target="https://doi.org/10.1002/14651858.CD000934.pub3" TargetMode="External" /><Relationship Type="http://schemas.openxmlformats.org/officeDocument/2006/relationships/hyperlink" Id="rId42" Target="https://doi.org/10.1016/S0140-6736(13)60685-6" TargetMode="External" /><Relationship Type="http://schemas.openxmlformats.org/officeDocument/2006/relationships/hyperlink" Id="rId65" Target="https://doi.org/10.1056/NEJMoa1704559" TargetMode="External" /><Relationship Type="http://schemas.openxmlformats.org/officeDocument/2006/relationships/hyperlink" Id="rId43" Target="https://doi.org/10.1093/heapol/czw143" TargetMode="External" /><Relationship Type="http://schemas.openxmlformats.org/officeDocument/2006/relationships/hyperlink" Id="rId67" Target="https://doi.org/10.1136/bmj.i1753" TargetMode="External" /><Relationship Type="http://schemas.openxmlformats.org/officeDocument/2006/relationships/hyperlink" Id="rId35" Target="https://peraturan.bpk.go.id" TargetMode="External" /><Relationship Type="http://schemas.openxmlformats.org/officeDocument/2006/relationships/hyperlink" Id="rId37" Target="https://peraturan.bpk.go.id/Details/168657" TargetMode="External" /><Relationship Type="http://schemas.openxmlformats.org/officeDocument/2006/relationships/hyperlink" Id="rId36" Target="https://peraturan.bpk.go.id/Details/5515" TargetMode="External" /><Relationship Type="http://schemas.openxmlformats.org/officeDocument/2006/relationships/hyperlink" Id="rId39" Target="https://www.bkkbn.go.id" TargetMode="External" /><Relationship Type="http://schemas.openxmlformats.org/officeDocument/2006/relationships/hyperlink" Id="rId38" Target="https://www.kemkes.go.id" TargetMode="External" /><Relationship Type="http://schemas.openxmlformats.org/officeDocument/2006/relationships/hyperlink" Id="rId41" Target="https://www.unfpa.org/publications/international-conference-population-and-development-programme-acti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0" Target="https://apps.who.int/iris/handle/10665/153544" TargetMode="External" /><Relationship Type="http://schemas.openxmlformats.org/officeDocument/2006/relationships/hyperlink" Id="rId66" Target="https://apps.who.int/iris/handle/10665/161442" TargetMode="External" /><Relationship Type="http://schemas.openxmlformats.org/officeDocument/2006/relationships/hyperlink" Id="rId63" Target="https://apps.who.int/iris/handle/10665/250796" TargetMode="External" /><Relationship Type="http://schemas.openxmlformats.org/officeDocument/2006/relationships/hyperlink" Id="rId64" Target="https://doi.org/10.1002/14651858.CD000934.pub3" TargetMode="External" /><Relationship Type="http://schemas.openxmlformats.org/officeDocument/2006/relationships/hyperlink" Id="rId42" Target="https://doi.org/10.1016/S0140-6736(13)60685-6" TargetMode="External" /><Relationship Type="http://schemas.openxmlformats.org/officeDocument/2006/relationships/hyperlink" Id="rId65" Target="https://doi.org/10.1056/NEJMoa1704559" TargetMode="External" /><Relationship Type="http://schemas.openxmlformats.org/officeDocument/2006/relationships/hyperlink" Id="rId43" Target="https://doi.org/10.1093/heapol/czw143" TargetMode="External" /><Relationship Type="http://schemas.openxmlformats.org/officeDocument/2006/relationships/hyperlink" Id="rId67" Target="https://doi.org/10.1136/bmj.i1753" TargetMode="External" /><Relationship Type="http://schemas.openxmlformats.org/officeDocument/2006/relationships/hyperlink" Id="rId35" Target="https://peraturan.bpk.go.id" TargetMode="External" /><Relationship Type="http://schemas.openxmlformats.org/officeDocument/2006/relationships/hyperlink" Id="rId37" Target="https://peraturan.bpk.go.id/Details/168657" TargetMode="External" /><Relationship Type="http://schemas.openxmlformats.org/officeDocument/2006/relationships/hyperlink" Id="rId36" Target="https://peraturan.bpk.go.id/Details/5515" TargetMode="External" /><Relationship Type="http://schemas.openxmlformats.org/officeDocument/2006/relationships/hyperlink" Id="rId39" Target="https://www.bkkbn.go.id" TargetMode="External" /><Relationship Type="http://schemas.openxmlformats.org/officeDocument/2006/relationships/hyperlink" Id="rId38" Target="https://www.kemkes.go.id" TargetMode="External" /><Relationship Type="http://schemas.openxmlformats.org/officeDocument/2006/relationships/hyperlink" Id="rId41" Target="https://www.unfpa.org/publications/international-conference-population-and-development-programme-ac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258</Pages>
  <Words>74752</Words>
  <Characters>426090</Characters>
  <Application>Microsoft Office Word</Application>
  <DocSecurity>0</DocSecurity>
  <Lines>3550</Lines>
  <Paragraphs>999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2026-07-10T22:53:26Z</dcterms:created>
  <dcterms:modified xsi:type="dcterms:W3CDTF">2026-07-10T22:53:26Z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