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600"/>
        <w:rPr/>
      </w:pPr>
      <w:r>
        <w:rPr/>
      </w:r>
    </w:p>
    <w:p>
      <w:pPr>
        <w:pStyle w:val="Normal"/>
        <w:spacing w:before="0" w:after="400"/>
        <w:jc w:val="center"/>
        <w:rPr/>
      </w:pPr>
      <w:r>
        <w:rPr>
          <w:rFonts w:eastAsia="Cambria" w:cs="Cambria" w:ascii="Cambria" w:hAnsi="Cambria"/>
          <w:b/>
          <w:bCs/>
          <w:color w:val="2C3A64"/>
          <w:sz w:val="24"/>
          <w:szCs w:val="24"/>
        </w:rPr>
        <w:t>PERPUSTAKAAN DIGITAL ABBA</w:t>
      </w:r>
    </w:p>
    <w:p>
      <w:pPr>
        <w:pStyle w:val="Normal"/>
        <w:spacing w:before="0" w:after="100"/>
        <w:jc w:val="center"/>
        <w:rPr/>
      </w:pPr>
      <w:r>
        <w:rPr>
          <w:rFonts w:eastAsia="Cambria" w:cs="Cambria" w:ascii="Cambria" w:hAnsi="Cambria"/>
          <w:i/>
          <w:iCs/>
          <w:color w:val="A9812F"/>
          <w:sz w:val="22"/>
          <w:szCs w:val="22"/>
        </w:rPr>
        <w:t>Dari Bangsal ke Beranda</w:t>
      </w:r>
    </w:p>
    <w:p>
      <w:pPr>
        <w:pStyle w:val="Normal"/>
        <w:spacing w:before="0" w:after="800"/>
        <w:jc w:val="center"/>
        <w:rPr/>
      </w:pPr>
      <w:r>
        <w:rPr>
          <w:rFonts w:eastAsia="Cambria" w:cs="Cambria" w:ascii="Cambria" w:hAnsi="Cambria"/>
          <w:i/>
          <w:iCs/>
          <w:sz w:val="20"/>
          <w:szCs w:val="20"/>
        </w:rPr>
        <w:t>Obstetri Ginekologi Sosial sebagai Ilmu Kedokteran Utuh</w:t>
      </w:r>
    </w:p>
    <w:p>
      <w:pPr>
        <w:pStyle w:val="Normal"/>
        <w:spacing w:before="0" w:after="120"/>
        <w:jc w:val="center"/>
        <w:rPr/>
      </w:pPr>
      <w:r>
        <w:rPr>
          <w:rFonts w:eastAsia="Cambria" w:cs="Cambria" w:ascii="Cambria" w:hAnsi="Cambria"/>
          <w:b/>
          <w:bCs/>
          <w:color w:val="2C3A64"/>
          <w:sz w:val="40"/>
          <w:szCs w:val="40"/>
        </w:rPr>
        <w:t>KEKERASAN BERBASIS GENDER:</w:t>
      </w:r>
    </w:p>
    <w:p>
      <w:pPr>
        <w:pStyle w:val="Normal"/>
        <w:spacing w:before="0" w:after="400"/>
        <w:jc w:val="center"/>
        <w:rPr/>
      </w:pPr>
      <w:r>
        <w:rPr>
          <w:rFonts w:eastAsia="Cambria" w:cs="Cambria" w:ascii="Cambria" w:hAnsi="Cambria"/>
          <w:b/>
          <w:bCs/>
          <w:color w:val="2C3A64"/>
          <w:sz w:val="32"/>
          <w:szCs w:val="32"/>
        </w:rPr>
        <w:t>Deteksi, Pendampingan, dan Perlindungan Korban</w:t>
      </w:r>
    </w:p>
    <w:p>
      <w:pPr>
        <w:pStyle w:val="Normal"/>
        <w:spacing w:before="0" w:after="100"/>
        <w:jc w:val="center"/>
        <w:rPr/>
      </w:pPr>
      <w:r>
        <w:rPr>
          <w:rFonts w:eastAsia="Cambria" w:cs="Cambria" w:ascii="Cambria" w:hAnsi="Cambria"/>
          <w:sz w:val="22"/>
          <w:szCs w:val="22"/>
        </w:rPr>
        <w:t>Kode Buku: MS-2  ·  Klaster Masyarakat</w:t>
      </w:r>
    </w:p>
    <w:p>
      <w:pPr>
        <w:pStyle w:val="Normal"/>
        <w:spacing w:before="0" w:after="100"/>
        <w:jc w:val="center"/>
        <w:rPr/>
      </w:pPr>
      <w:r>
        <w:rPr>
          <w:rFonts w:eastAsia="Cambria" w:cs="Cambria" w:ascii="Cambria" w:hAnsi="Cambria"/>
          <w:sz w:val="20"/>
          <w:szCs w:val="20"/>
        </w:rPr>
        <w:t>Program Pendidikan Dokter Subspesialis Obstetri Ginekologi Sosial (Obginsos)</w:t>
      </w:r>
    </w:p>
    <w:p>
      <w:pPr>
        <w:pStyle w:val="Normal"/>
        <w:spacing w:before="0" w:after="1600"/>
        <w:jc w:val="center"/>
        <w:rPr/>
      </w:pPr>
      <w:r>
        <w:rPr>
          <w:rFonts w:eastAsia="Cambria" w:cs="Cambria" w:ascii="Cambria" w:hAnsi="Cambria"/>
          <w:sz w:val="20"/>
          <w:szCs w:val="20"/>
        </w:rPr>
        <w:t>Penempatan dalam Kurikulum: Semester 3–4</w:t>
      </w:r>
    </w:p>
    <w:p>
      <w:pPr>
        <w:pStyle w:val="Normal"/>
        <w:spacing w:before="0" w:after="80"/>
        <w:jc w:val="center"/>
        <w:rPr/>
      </w:pPr>
      <w:r>
        <w:rPr>
          <w:rFonts w:eastAsia="Cambria" w:cs="Cambria" w:ascii="Cambria" w:hAnsi="Cambria"/>
          <w:sz w:val="20"/>
          <w:szCs w:val="20"/>
        </w:rPr>
        <w:t>Penyusun,</w:t>
      </w:r>
    </w:p>
    <w:p>
      <w:pPr>
        <w:pStyle w:val="Normal"/>
        <w:spacing w:before="0" w:after="400"/>
        <w:jc w:val="center"/>
        <w:rPr/>
      </w:pPr>
      <w:r>
        <w:rPr>
          <w:rFonts w:eastAsia="Cambria" w:cs="Cambria" w:ascii="Cambria" w:hAnsi="Cambria"/>
          <w:b/>
          <w:bCs/>
          <w:sz w:val="22"/>
          <w:szCs w:val="22"/>
        </w:rPr>
        <w:t>Dr.dr. Budi Siswanto, Sp.OG., Subsp.Obginsos., SH., S.Kom. — Advokat</w:t>
      </w:r>
    </w:p>
    <w:p>
      <w:pPr>
        <w:pStyle w:val="Normal"/>
        <w:spacing w:before="0" w:after="40"/>
        <w:jc w:val="center"/>
        <w:rPr/>
      </w:pPr>
      <w:r>
        <w:rPr>
          <w:rFonts w:eastAsia="Cambria" w:cs="Cambria" w:ascii="Cambria" w:hAnsi="Cambria"/>
          <w:sz w:val="20"/>
          <w:szCs w:val="20"/>
        </w:rPr>
        <w:t>Malang, Juli 2026</w:t>
      </w:r>
    </w:p>
    <w:p>
      <w:pPr>
        <w:pStyle w:val="Normal"/>
        <w:spacing w:before="0" w:after="20"/>
        <w:jc w:val="center"/>
        <w:rPr/>
      </w:pPr>
      <w:r>
        <w:rPr>
          <w:rFonts w:eastAsia="Cambria" w:cs="Cambria" w:ascii="Cambria" w:hAnsi="Cambria"/>
          <w:sz w:val="20"/>
          <w:szCs w:val="20"/>
        </w:rPr>
        <w:t>Perpustakaan Digital ABBA</w:t>
      </w:r>
    </w:p>
    <w:p>
      <w:pPr>
        <w:pStyle w:val="Normal"/>
        <w:jc w:val="center"/>
        <w:rPr/>
      </w:pPr>
      <w:r>
        <w:rPr>
          <w:rFonts w:eastAsia="Cambria" w:cs="Cambria" w:ascii="Cambria" w:hAnsi="Cambria"/>
          <w:sz w:val="18"/>
          <w:szCs w:val="18"/>
        </w:rPr>
        <w:t>Jl. Kerinci Raya No. 9, Malang 65138</w:t>
      </w:r>
    </w:p>
    <w:p>
      <w:pPr>
        <w:pStyle w:val="Normal"/>
        <w:rPr/>
      </w:pPr>
      <w:r>
        <w:rPr/>
      </w:r>
      <w:r>
        <w:br w:type="page"/>
      </w:r>
    </w:p>
    <w:p>
      <w:pPr>
        <w:pStyle w:val="Heading1"/>
        <w:spacing w:before="0" w:after="160"/>
        <w:rPr/>
      </w:pPr>
      <w:bookmarkStart w:id="0" w:name="__RefHeading___Toc565_3416633461"/>
      <w:bookmarkEnd w:id="0"/>
      <w:r>
        <w:rPr/>
        <w:t>Daftar Isi</w:t>
      </w:r>
    </w:p>
    <w:sdt>
      <w:sdtPr>
        <w:docPartObj>
          <w:docPartGallery w:val="Table of Contents"/>
          <w:docPartUnique w:val="true"/>
        </w:docPartObj>
      </w:sdtPr>
      <w:sdtContent>
        <w:p>
          <w:pPr>
            <w:pStyle w:val="TOC1"/>
            <w:tabs>
              <w:tab w:val="clear" w:pos="9026"/>
              <w:tab w:val="right" w:pos="9025" w:leader="dot"/>
            </w:tabs>
            <w:rPr/>
          </w:pPr>
          <w:r>
            <w:fldChar w:fldCharType="begin"/>
          </w:r>
          <w:r>
            <w:rPr>
              <w:rStyle w:val="IndexLink"/>
            </w:rPr>
            <w:instrText xml:space="preserve"> TOC \o "1-3" \h</w:instrText>
          </w:r>
          <w:r>
            <w:rPr>
              <w:rStyle w:val="IndexLink"/>
            </w:rPr>
            <w:fldChar w:fldCharType="separate"/>
          </w:r>
          <w:hyperlink w:anchor="__RefHeading___Toc565_3416633461">
            <w:r>
              <w:rPr>
                <w:rStyle w:val="IndexLink"/>
              </w:rPr>
              <w:t>Daftar Isi</w:t>
              <w:tab/>
              <w:t>2</w:t>
            </w:r>
          </w:hyperlink>
        </w:p>
        <w:p>
          <w:pPr>
            <w:pStyle w:val="TOC1"/>
            <w:tabs>
              <w:tab w:val="clear" w:pos="9026"/>
              <w:tab w:val="right" w:pos="9025" w:leader="dot"/>
            </w:tabs>
            <w:rPr/>
          </w:pPr>
          <w:hyperlink w:anchor="__RefHeading___Toc567_3416633461">
            <w:r>
              <w:rPr>
                <w:rStyle w:val="IndexLink"/>
              </w:rPr>
              <w:t>Bab 1 — Spektrum Kekerasan Berbasis Gender: KDRT, Kekerasan Seksual, Eksploitasi</w:t>
              <w:tab/>
              <w:t>4</w:t>
            </w:r>
          </w:hyperlink>
        </w:p>
        <w:p>
          <w:pPr>
            <w:pStyle w:val="TOC2"/>
            <w:tabs>
              <w:tab w:val="clear" w:pos="8743"/>
              <w:tab w:val="right" w:pos="9025" w:leader="dot"/>
            </w:tabs>
            <w:rPr/>
          </w:pPr>
          <w:hyperlink w:anchor="__RefHeading___Toc569_3416633461">
            <w:r>
              <w:rPr>
                <w:rStyle w:val="IndexLink"/>
              </w:rPr>
              <w:t>1.1 Kekerasan Berbasis Gender sebagai Isu Kesehatan Reproduksi</w:t>
              <w:tab/>
              <w:t>4</w:t>
            </w:r>
          </w:hyperlink>
        </w:p>
        <w:p>
          <w:pPr>
            <w:pStyle w:val="TOC2"/>
            <w:tabs>
              <w:tab w:val="clear" w:pos="8743"/>
              <w:tab w:val="right" w:pos="9025" w:leader="dot"/>
            </w:tabs>
            <w:rPr/>
          </w:pPr>
          <w:hyperlink w:anchor="__RefHeading___Toc571_3416633461">
            <w:r>
              <w:rPr>
                <w:rStyle w:val="IndexLink"/>
              </w:rPr>
              <w:t>1.2 Definisi dan Ruang Lingkup Konseptual</w:t>
              <w:tab/>
              <w:t>4</w:t>
            </w:r>
          </w:hyperlink>
        </w:p>
        <w:p>
          <w:pPr>
            <w:pStyle w:val="TOC3"/>
            <w:tabs>
              <w:tab w:val="clear" w:pos="8459"/>
              <w:tab w:val="right" w:pos="9025" w:leader="dot"/>
            </w:tabs>
            <w:rPr/>
          </w:pPr>
          <w:hyperlink w:anchor="__RefHeading___Toc573_3416633461">
            <w:r>
              <w:rPr>
                <w:rStyle w:val="IndexLink"/>
              </w:rPr>
              <w:t>1.2.1 Kekerasan dalam Rumah Tangga (KDRT)</w:t>
              <w:tab/>
              <w:t>5</w:t>
            </w:r>
          </w:hyperlink>
        </w:p>
        <w:p>
          <w:pPr>
            <w:pStyle w:val="TOC3"/>
            <w:tabs>
              <w:tab w:val="clear" w:pos="8459"/>
              <w:tab w:val="right" w:pos="9025" w:leader="dot"/>
            </w:tabs>
            <w:rPr/>
          </w:pPr>
          <w:hyperlink w:anchor="__RefHeading___Toc575_3416633461">
            <w:r>
              <w:rPr>
                <w:rStyle w:val="IndexLink"/>
              </w:rPr>
              <w:t>1.2.2 Kekerasan Seksual</w:t>
              <w:tab/>
              <w:t>5</w:t>
            </w:r>
          </w:hyperlink>
        </w:p>
        <w:p>
          <w:pPr>
            <w:pStyle w:val="TOC3"/>
            <w:tabs>
              <w:tab w:val="clear" w:pos="8459"/>
              <w:tab w:val="right" w:pos="9025" w:leader="dot"/>
            </w:tabs>
            <w:rPr/>
          </w:pPr>
          <w:hyperlink w:anchor="__RefHeading___Toc577_3416633461">
            <w:r>
              <w:rPr>
                <w:rStyle w:val="IndexLink"/>
              </w:rPr>
              <w:t>1.2.3 Eksploitasi</w:t>
              <w:tab/>
              <w:t>5</w:t>
            </w:r>
          </w:hyperlink>
        </w:p>
        <w:p>
          <w:pPr>
            <w:pStyle w:val="TOC2"/>
            <w:tabs>
              <w:tab w:val="clear" w:pos="8743"/>
              <w:tab w:val="right" w:pos="9025" w:leader="dot"/>
            </w:tabs>
            <w:rPr/>
          </w:pPr>
          <w:hyperlink w:anchor="__RefHeading___Toc579_3416633461">
            <w:r>
              <w:rPr>
                <w:rStyle w:val="IndexLink"/>
              </w:rPr>
              <w:t>1.3 Model Kontrol Koersif: Melampaui Insiden Tunggal</w:t>
              <w:tab/>
              <w:t>6</w:t>
            </w:r>
          </w:hyperlink>
        </w:p>
        <w:p>
          <w:pPr>
            <w:pStyle w:val="TOC2"/>
            <w:tabs>
              <w:tab w:val="clear" w:pos="8743"/>
              <w:tab w:val="right" w:pos="9025" w:leader="dot"/>
            </w:tabs>
            <w:rPr/>
          </w:pPr>
          <w:hyperlink w:anchor="__RefHeading___Toc581_3416633461">
            <w:r>
              <w:rPr>
                <w:rStyle w:val="IndexLink"/>
              </w:rPr>
              <w:t>1.4 Faktor Risiko dan Determinan Sosial</w:t>
              <w:tab/>
              <w:t>6</w:t>
            </w:r>
          </w:hyperlink>
        </w:p>
        <w:p>
          <w:pPr>
            <w:pStyle w:val="TOC2"/>
            <w:tabs>
              <w:tab w:val="clear" w:pos="8743"/>
              <w:tab w:val="right" w:pos="9025" w:leader="dot"/>
            </w:tabs>
            <w:rPr/>
          </w:pPr>
          <w:hyperlink w:anchor="__RefHeading___Toc583_3416633461">
            <w:r>
              <w:rPr>
                <w:rStyle w:val="IndexLink"/>
              </w:rPr>
              <w:t>1.5 Dampak terhadap Kesehatan Reproduksi</w:t>
              <w:tab/>
              <w:t>7</w:t>
            </w:r>
          </w:hyperlink>
        </w:p>
        <w:p>
          <w:pPr>
            <w:pStyle w:val="TOC2"/>
            <w:tabs>
              <w:tab w:val="clear" w:pos="8743"/>
              <w:tab w:val="right" w:pos="9025" w:leader="dot"/>
            </w:tabs>
            <w:rPr/>
          </w:pPr>
          <w:hyperlink w:anchor="__RefHeading___Toc585_3416633461">
            <w:r>
              <w:rPr>
                <w:rStyle w:val="IndexLink"/>
              </w:rPr>
              <w:t>1.6 Kedudukan Bab Ini dalam Alur Buku</w:t>
              <w:tab/>
              <w:t>7</w:t>
            </w:r>
          </w:hyperlink>
        </w:p>
        <w:p>
          <w:pPr>
            <w:pStyle w:val="TOC3"/>
            <w:tabs>
              <w:tab w:val="clear" w:pos="8459"/>
              <w:tab w:val="right" w:pos="9025" w:leader="dot"/>
            </w:tabs>
            <w:rPr/>
          </w:pPr>
          <w:hyperlink w:anchor="__RefHeading___Toc587_3416633461">
            <w:r>
              <w:rPr>
                <w:rStyle w:val="IndexLink"/>
              </w:rPr>
              <w:t>Ringkasan Poin Kunci</w:t>
              <w:tab/>
              <w:t>7</w:t>
            </w:r>
          </w:hyperlink>
        </w:p>
        <w:p>
          <w:pPr>
            <w:pStyle w:val="TOC3"/>
            <w:tabs>
              <w:tab w:val="clear" w:pos="8459"/>
              <w:tab w:val="right" w:pos="9025" w:leader="dot"/>
            </w:tabs>
            <w:rPr/>
          </w:pPr>
          <w:hyperlink w:anchor="__RefHeading___Toc589_3416633461">
            <w:r>
              <w:rPr>
                <w:rStyle w:val="IndexLink"/>
              </w:rPr>
              <w:t>Vignette</w:t>
              <w:tab/>
              <w:t>8</w:t>
            </w:r>
          </w:hyperlink>
        </w:p>
        <w:p>
          <w:pPr>
            <w:pStyle w:val="TOC3"/>
            <w:tabs>
              <w:tab w:val="clear" w:pos="8459"/>
              <w:tab w:val="right" w:pos="9025" w:leader="dot"/>
            </w:tabs>
            <w:rPr/>
          </w:pPr>
          <w:hyperlink w:anchor="__RefHeading___Toc591_3416633461">
            <w:r>
              <w:rPr>
                <w:rStyle w:val="IndexLink"/>
              </w:rPr>
              <w:t>Pertanyaan Refleksi</w:t>
              <w:tab/>
              <w:t>8</w:t>
            </w:r>
          </w:hyperlink>
        </w:p>
        <w:p>
          <w:pPr>
            <w:pStyle w:val="TOC1"/>
            <w:tabs>
              <w:tab w:val="clear" w:pos="9026"/>
              <w:tab w:val="right" w:pos="9025" w:leader="dot"/>
            </w:tabs>
            <w:rPr/>
          </w:pPr>
          <w:hyperlink w:anchor="__RefHeading___Toc593_3416633461">
            <w:r>
              <w:rPr>
                <w:rStyle w:val="IndexLink"/>
              </w:rPr>
              <w:t>Bab 2 — Deteksi Dini dan Skrining Kekerasan dalam Layanan Kesehatan</w:t>
              <w:tab/>
              <w:t>9</w:t>
            </w:r>
          </w:hyperlink>
        </w:p>
        <w:p>
          <w:pPr>
            <w:pStyle w:val="TOC2"/>
            <w:tabs>
              <w:tab w:val="clear" w:pos="8743"/>
              <w:tab w:val="right" w:pos="9025" w:leader="dot"/>
            </w:tabs>
            <w:rPr/>
          </w:pPr>
          <w:hyperlink w:anchor="__RefHeading___Toc595_3416633461">
            <w:r>
              <w:rPr>
                <w:rStyle w:val="IndexLink"/>
              </w:rPr>
              <w:t>2.1 Prinsip Umum Skrining Kekerasan Berbasis Gender</w:t>
              <w:tab/>
              <w:t>9</w:t>
            </w:r>
          </w:hyperlink>
        </w:p>
        <w:p>
          <w:pPr>
            <w:pStyle w:val="TOC2"/>
            <w:tabs>
              <w:tab w:val="clear" w:pos="8743"/>
              <w:tab w:val="right" w:pos="9025" w:leader="dot"/>
            </w:tabs>
            <w:rPr/>
          </w:pPr>
          <w:hyperlink w:anchor="__RefHeading___Toc597_3416633461">
            <w:r>
              <w:rPr>
                <w:rStyle w:val="IndexLink"/>
              </w:rPr>
              <w:t>2.2 Kapan Skrining Dilakukan</w:t>
              <w:tab/>
              <w:t>9</w:t>
            </w:r>
          </w:hyperlink>
        </w:p>
        <w:p>
          <w:pPr>
            <w:pStyle w:val="TOC2"/>
            <w:tabs>
              <w:tab w:val="clear" w:pos="8743"/>
              <w:tab w:val="right" w:pos="9025" w:leader="dot"/>
            </w:tabs>
            <w:rPr/>
          </w:pPr>
          <w:hyperlink w:anchor="__RefHeading___Toc599_3416633461">
            <w:r>
              <w:rPr>
                <w:rStyle w:val="IndexLink"/>
              </w:rPr>
              <w:t>2.3 Instrumen dan Teknik Skrining</w:t>
              <w:tab/>
              <w:t>10</w:t>
            </w:r>
          </w:hyperlink>
        </w:p>
        <w:p>
          <w:pPr>
            <w:pStyle w:val="TOC3"/>
            <w:tabs>
              <w:tab w:val="clear" w:pos="8459"/>
              <w:tab w:val="right" w:pos="9025" w:leader="dot"/>
            </w:tabs>
            <w:rPr/>
          </w:pPr>
          <w:hyperlink w:anchor="__RefHeading___Toc601_3416633461">
            <w:r>
              <w:rPr>
                <w:rStyle w:val="IndexLink"/>
              </w:rPr>
              <w:t>2.3.1 Prasyarat Lingkungan Skrining</w:t>
              <w:tab/>
              <w:t>10</w:t>
            </w:r>
          </w:hyperlink>
        </w:p>
        <w:p>
          <w:pPr>
            <w:pStyle w:val="TOC3"/>
            <w:tabs>
              <w:tab w:val="clear" w:pos="8459"/>
              <w:tab w:val="right" w:pos="9025" w:leader="dot"/>
            </w:tabs>
            <w:rPr/>
          </w:pPr>
          <w:hyperlink w:anchor="__RefHeading___Toc603_3416633461">
            <w:r>
              <w:rPr>
                <w:rStyle w:val="IndexLink"/>
              </w:rPr>
              <w:t>2.3.2 Struktur Pertanyaan</w:t>
              <w:tab/>
              <w:t>10</w:t>
            </w:r>
          </w:hyperlink>
        </w:p>
        <w:p>
          <w:pPr>
            <w:pStyle w:val="TOC2"/>
            <w:tabs>
              <w:tab w:val="clear" w:pos="8743"/>
              <w:tab w:val="right" w:pos="9025" w:leader="dot"/>
            </w:tabs>
            <w:rPr/>
          </w:pPr>
          <w:hyperlink w:anchor="__RefHeading___Toc605_3416633461">
            <w:r>
              <w:rPr>
                <w:rStyle w:val="IndexLink"/>
              </w:rPr>
              <w:t>2.4 Menanggapi Hasil Skrining Positif</w:t>
              <w:tab/>
              <w:t>11</w:t>
            </w:r>
          </w:hyperlink>
        </w:p>
        <w:p>
          <w:pPr>
            <w:pStyle w:val="TOC2"/>
            <w:tabs>
              <w:tab w:val="clear" w:pos="8743"/>
              <w:tab w:val="right" w:pos="9025" w:leader="dot"/>
            </w:tabs>
            <w:rPr/>
          </w:pPr>
          <w:hyperlink w:anchor="__RefHeading___Toc607_3416633461">
            <w:r>
              <w:rPr>
                <w:rStyle w:val="IndexLink"/>
              </w:rPr>
              <w:t>2.5 Hambatan Skrining di Tingkat Masyarakat</w:t>
              <w:tab/>
              <w:t>11</w:t>
            </w:r>
          </w:hyperlink>
        </w:p>
        <w:p>
          <w:pPr>
            <w:pStyle w:val="TOC2"/>
            <w:tabs>
              <w:tab w:val="clear" w:pos="8743"/>
              <w:tab w:val="right" w:pos="9025" w:leader="dot"/>
            </w:tabs>
            <w:rPr/>
          </w:pPr>
          <w:hyperlink w:anchor="__RefHeading___Toc609_3416633461">
            <w:r>
              <w:rPr>
                <w:rStyle w:val="IndexLink"/>
              </w:rPr>
              <w:t>2.6 Skrining pada Populasi Rentan Khusus</w:t>
              <w:tab/>
              <w:t>12</w:t>
            </w:r>
          </w:hyperlink>
        </w:p>
        <w:p>
          <w:pPr>
            <w:pStyle w:val="TOC3"/>
            <w:tabs>
              <w:tab w:val="clear" w:pos="8459"/>
              <w:tab w:val="right" w:pos="9025" w:leader="dot"/>
            </w:tabs>
            <w:rPr/>
          </w:pPr>
          <w:hyperlink w:anchor="__RefHeading___Toc611_3416633461">
            <w:r>
              <w:rPr>
                <w:rStyle w:val="IndexLink"/>
              </w:rPr>
              <w:t>Ringkasan Poin Kunci</w:t>
              <w:tab/>
              <w:t>12</w:t>
            </w:r>
          </w:hyperlink>
        </w:p>
        <w:p>
          <w:pPr>
            <w:pStyle w:val="TOC3"/>
            <w:tabs>
              <w:tab w:val="clear" w:pos="8459"/>
              <w:tab w:val="right" w:pos="9025" w:leader="dot"/>
            </w:tabs>
            <w:rPr/>
          </w:pPr>
          <w:hyperlink w:anchor="__RefHeading___Toc613_3416633461">
            <w:r>
              <w:rPr>
                <w:rStyle w:val="IndexLink"/>
              </w:rPr>
              <w:t>Vignette</w:t>
              <w:tab/>
              <w:t>12</w:t>
            </w:r>
          </w:hyperlink>
        </w:p>
        <w:p>
          <w:pPr>
            <w:pStyle w:val="TOC3"/>
            <w:tabs>
              <w:tab w:val="clear" w:pos="8459"/>
              <w:tab w:val="right" w:pos="9025" w:leader="dot"/>
            </w:tabs>
            <w:rPr/>
          </w:pPr>
          <w:hyperlink w:anchor="__RefHeading___Toc615_3416633461">
            <w:r>
              <w:rPr>
                <w:rStyle w:val="IndexLink"/>
              </w:rPr>
              <w:t>Pertanyaan Refleksi</w:t>
              <w:tab/>
              <w:t>13</w:t>
            </w:r>
          </w:hyperlink>
        </w:p>
        <w:p>
          <w:pPr>
            <w:pStyle w:val="TOC1"/>
            <w:tabs>
              <w:tab w:val="clear" w:pos="9026"/>
              <w:tab w:val="right" w:pos="9025" w:leader="dot"/>
            </w:tabs>
            <w:rPr/>
          </w:pPr>
          <w:hyperlink w:anchor="__RefHeading___Toc617_3416633461">
            <w:r>
              <w:rPr>
                <w:rStyle w:val="IndexLink"/>
              </w:rPr>
              <w:t>Bab 3 — Pendekatan Trauma-Informed dalam Anamnesis dan Konseling</w:t>
              <w:tab/>
              <w:t>14</w:t>
            </w:r>
          </w:hyperlink>
        </w:p>
        <w:p>
          <w:pPr>
            <w:pStyle w:val="TOC2"/>
            <w:tabs>
              <w:tab w:val="clear" w:pos="8743"/>
              <w:tab w:val="right" w:pos="9025" w:leader="dot"/>
            </w:tabs>
            <w:rPr/>
          </w:pPr>
          <w:hyperlink w:anchor="__RefHeading___Toc619_3416633461">
            <w:r>
              <w:rPr>
                <w:rStyle w:val="IndexLink"/>
              </w:rPr>
              <w:t>3.1 Mengapa Trauma-Informed Care Diperlukan</w:t>
              <w:tab/>
              <w:t>14</w:t>
            </w:r>
          </w:hyperlink>
        </w:p>
        <w:p>
          <w:pPr>
            <w:pStyle w:val="TOC2"/>
            <w:tabs>
              <w:tab w:val="clear" w:pos="8743"/>
              <w:tab w:val="right" w:pos="9025" w:leader="dot"/>
            </w:tabs>
            <w:rPr/>
          </w:pPr>
          <w:hyperlink w:anchor="__RefHeading___Toc621_3416633461">
            <w:r>
              <w:rPr>
                <w:rStyle w:val="IndexLink"/>
              </w:rPr>
              <w:t>3.2 Dampak Neurobiologis Trauma terhadap Anamnesis</w:t>
              <w:tab/>
              <w:t>14</w:t>
            </w:r>
          </w:hyperlink>
        </w:p>
        <w:p>
          <w:pPr>
            <w:pStyle w:val="TOC2"/>
            <w:tabs>
              <w:tab w:val="clear" w:pos="8743"/>
              <w:tab w:val="right" w:pos="9025" w:leader="dot"/>
            </w:tabs>
            <w:rPr/>
          </w:pPr>
          <w:hyperlink w:anchor="__RefHeading___Toc623_3416633461">
            <w:r>
              <w:rPr>
                <w:rStyle w:val="IndexLink"/>
              </w:rPr>
              <w:t>3.3 Teknik Anamnesis Trauma-Informed</w:t>
              <w:tab/>
              <w:t>15</w:t>
            </w:r>
          </w:hyperlink>
        </w:p>
        <w:p>
          <w:pPr>
            <w:pStyle w:val="TOC3"/>
            <w:tabs>
              <w:tab w:val="clear" w:pos="8459"/>
              <w:tab w:val="right" w:pos="9025" w:leader="dot"/>
            </w:tabs>
            <w:rPr/>
          </w:pPr>
          <w:hyperlink w:anchor="__RefHeading___Toc625_3416633461">
            <w:r>
              <w:rPr>
                <w:rStyle w:val="IndexLink"/>
              </w:rPr>
              <w:t>3.3.1 Kendali atas Narasi</w:t>
              <w:tab/>
              <w:t>15</w:t>
            </w:r>
          </w:hyperlink>
        </w:p>
        <w:p>
          <w:pPr>
            <w:pStyle w:val="TOC3"/>
            <w:tabs>
              <w:tab w:val="clear" w:pos="8459"/>
              <w:tab w:val="right" w:pos="9025" w:leader="dot"/>
            </w:tabs>
            <w:rPr/>
          </w:pPr>
          <w:hyperlink w:anchor="__RefHeading___Toc627_3416633461">
            <w:r>
              <w:rPr>
                <w:rStyle w:val="IndexLink"/>
              </w:rPr>
              <w:t>3.3.2 Bahasa dan Framing Pertanyaan</w:t>
              <w:tab/>
              <w:t>15</w:t>
            </w:r>
          </w:hyperlink>
        </w:p>
        <w:p>
          <w:pPr>
            <w:pStyle w:val="TOC3"/>
            <w:tabs>
              <w:tab w:val="clear" w:pos="8459"/>
              <w:tab w:val="right" w:pos="9025" w:leader="dot"/>
            </w:tabs>
            <w:rPr/>
          </w:pPr>
          <w:hyperlink w:anchor="__RefHeading___Toc629_3416633461">
            <w:r>
              <w:rPr>
                <w:rStyle w:val="IndexLink"/>
              </w:rPr>
              <w:t>3.3.3 Ruang Fisik dan Bahasa Tubuh</w:t>
              <w:tab/>
              <w:t>15</w:t>
            </w:r>
          </w:hyperlink>
        </w:p>
        <w:p>
          <w:pPr>
            <w:pStyle w:val="TOC2"/>
            <w:tabs>
              <w:tab w:val="clear" w:pos="8743"/>
              <w:tab w:val="right" w:pos="9025" w:leader="dot"/>
            </w:tabs>
            <w:rPr/>
          </w:pPr>
          <w:hyperlink w:anchor="__RefHeading___Toc631_3416633461">
            <w:r>
              <w:rPr>
                <w:rStyle w:val="IndexLink"/>
              </w:rPr>
              <w:t>3.4 Konseling Nondirektif</w:t>
              <w:tab/>
              <w:t>16</w:t>
            </w:r>
          </w:hyperlink>
        </w:p>
        <w:p>
          <w:pPr>
            <w:pStyle w:val="TOC2"/>
            <w:tabs>
              <w:tab w:val="clear" w:pos="8743"/>
              <w:tab w:val="right" w:pos="9025" w:leader="dot"/>
            </w:tabs>
            <w:rPr/>
          </w:pPr>
          <w:hyperlink w:anchor="__RefHeading___Toc633_3416633461">
            <w:r>
              <w:rPr>
                <w:rStyle w:val="IndexLink"/>
              </w:rPr>
              <w:t>3.5 Perencanaan Keselamatan (Safety Planning)</w:t>
              <w:tab/>
              <w:t>16</w:t>
            </w:r>
          </w:hyperlink>
        </w:p>
        <w:p>
          <w:pPr>
            <w:pStyle w:val="TOC2"/>
            <w:tabs>
              <w:tab w:val="clear" w:pos="8743"/>
              <w:tab w:val="right" w:pos="9025" w:leader="dot"/>
            </w:tabs>
            <w:rPr/>
          </w:pPr>
          <w:hyperlink w:anchor="__RefHeading___Toc635_3416633461">
            <w:r>
              <w:rPr>
                <w:rStyle w:val="IndexLink"/>
              </w:rPr>
              <w:t>3.6 Kelelahan Empati dan Perawatan Diri Tenaga Kesehatan</w:t>
              <w:tab/>
              <w:t>17</w:t>
            </w:r>
          </w:hyperlink>
        </w:p>
        <w:p>
          <w:pPr>
            <w:pStyle w:val="TOC3"/>
            <w:tabs>
              <w:tab w:val="clear" w:pos="8459"/>
              <w:tab w:val="right" w:pos="9025" w:leader="dot"/>
            </w:tabs>
            <w:rPr/>
          </w:pPr>
          <w:hyperlink w:anchor="__RefHeading___Toc637_3416633461">
            <w:r>
              <w:rPr>
                <w:rStyle w:val="IndexLink"/>
              </w:rPr>
              <w:t>Ringkasan Poin Kunci</w:t>
              <w:tab/>
              <w:t>17</w:t>
            </w:r>
          </w:hyperlink>
        </w:p>
        <w:p>
          <w:pPr>
            <w:pStyle w:val="TOC3"/>
            <w:tabs>
              <w:tab w:val="clear" w:pos="8459"/>
              <w:tab w:val="right" w:pos="9025" w:leader="dot"/>
            </w:tabs>
            <w:rPr/>
          </w:pPr>
          <w:hyperlink w:anchor="__RefHeading___Toc639_3416633461">
            <w:r>
              <w:rPr>
                <w:rStyle w:val="IndexLink"/>
              </w:rPr>
              <w:t>Vignette</w:t>
              <w:tab/>
              <w:t>17</w:t>
            </w:r>
          </w:hyperlink>
        </w:p>
        <w:p>
          <w:pPr>
            <w:pStyle w:val="TOC3"/>
            <w:tabs>
              <w:tab w:val="clear" w:pos="8459"/>
              <w:tab w:val="right" w:pos="9025" w:leader="dot"/>
            </w:tabs>
            <w:rPr/>
          </w:pPr>
          <w:hyperlink w:anchor="__RefHeading___Toc641_3416633461">
            <w:r>
              <w:rPr>
                <w:rStyle w:val="IndexLink"/>
              </w:rPr>
              <w:t>Pertanyaan Refleksi</w:t>
              <w:tab/>
              <w:t>17</w:t>
            </w:r>
          </w:hyperlink>
        </w:p>
        <w:p>
          <w:pPr>
            <w:pStyle w:val="TOC1"/>
            <w:tabs>
              <w:tab w:val="clear" w:pos="9026"/>
              <w:tab w:val="right" w:pos="9025" w:leader="dot"/>
            </w:tabs>
            <w:rPr/>
          </w:pPr>
          <w:hyperlink w:anchor="__RefHeading___Toc643_3416633461">
            <w:r>
              <w:rPr>
                <w:rStyle w:val="IndexLink"/>
              </w:rPr>
              <w:t>Bab 4 — Kerja Sama dengan Unit Pelayanan Perempuan dan Anak (PPA) dan Aparat Penegak Hukum</w:t>
              <w:tab/>
              <w:t>18</w:t>
            </w:r>
          </w:hyperlink>
        </w:p>
        <w:p>
          <w:pPr>
            <w:pStyle w:val="TOC2"/>
            <w:tabs>
              <w:tab w:val="clear" w:pos="8743"/>
              <w:tab w:val="right" w:pos="9025" w:leader="dot"/>
            </w:tabs>
            <w:rPr/>
          </w:pPr>
          <w:hyperlink w:anchor="__RefHeading___Toc645_3416633461">
            <w:r>
              <w:rPr>
                <w:rStyle w:val="IndexLink"/>
              </w:rPr>
              <w:t>4.1 Kedudukan Unit PPA dalam Sistem Perlindungan</w:t>
              <w:tab/>
              <w:t>18</w:t>
            </w:r>
          </w:hyperlink>
        </w:p>
        <w:p>
          <w:pPr>
            <w:pStyle w:val="TOC2"/>
            <w:tabs>
              <w:tab w:val="clear" w:pos="8743"/>
              <w:tab w:val="right" w:pos="9025" w:leader="dot"/>
            </w:tabs>
            <w:rPr/>
          </w:pPr>
          <w:hyperlink w:anchor="__RefHeading___Toc647_3416633461">
            <w:r>
              <w:rPr>
                <w:rStyle w:val="IndexLink"/>
              </w:rPr>
              <w:t>4.2 Prinsip Rujukan ke Unit PPA</w:t>
              <w:tab/>
              <w:t>18</w:t>
            </w:r>
          </w:hyperlink>
        </w:p>
        <w:p>
          <w:pPr>
            <w:pStyle w:val="TOC3"/>
            <w:tabs>
              <w:tab w:val="clear" w:pos="8459"/>
              <w:tab w:val="right" w:pos="9025" w:leader="dot"/>
            </w:tabs>
            <w:rPr/>
          </w:pPr>
          <w:hyperlink w:anchor="__RefHeading___Toc649_3416633461">
            <w:r>
              <w:rPr>
                <w:rStyle w:val="IndexLink"/>
              </w:rPr>
              <w:t>4.2.1 Kapan Rujukan Dilakukan</w:t>
              <w:tab/>
              <w:t>18</w:t>
            </w:r>
          </w:hyperlink>
        </w:p>
        <w:p>
          <w:pPr>
            <w:pStyle w:val="TOC3"/>
            <w:tabs>
              <w:tab w:val="clear" w:pos="8459"/>
              <w:tab w:val="right" w:pos="9025" w:leader="dot"/>
            </w:tabs>
            <w:rPr/>
          </w:pPr>
          <w:hyperlink w:anchor="__RefHeading___Toc651_3416633461">
            <w:r>
              <w:rPr>
                <w:rStyle w:val="IndexLink"/>
              </w:rPr>
              <w:t>4.2.2 Prosedur Rujukan</w:t>
              <w:tab/>
              <w:t>19</w:t>
            </w:r>
          </w:hyperlink>
        </w:p>
        <w:p>
          <w:pPr>
            <w:pStyle w:val="TOC2"/>
            <w:tabs>
              <w:tab w:val="clear" w:pos="8743"/>
              <w:tab w:val="right" w:pos="9025" w:leader="dot"/>
            </w:tabs>
            <w:rPr/>
          </w:pPr>
          <w:hyperlink w:anchor="__RefHeading___Toc653_3416633461">
            <w:r>
              <w:rPr>
                <w:rStyle w:val="IndexLink"/>
              </w:rPr>
              <w:t>4.3 Kerangka Kolaborasi Lintas Sektor</w:t>
              <w:tab/>
              <w:t>19</w:t>
            </w:r>
          </w:hyperlink>
        </w:p>
        <w:p>
          <w:pPr>
            <w:pStyle w:val="TOC2"/>
            <w:tabs>
              <w:tab w:val="clear" w:pos="8743"/>
              <w:tab w:val="right" w:pos="9025" w:leader="dot"/>
            </w:tabs>
            <w:rPr/>
          </w:pPr>
          <w:hyperlink w:anchor="__RefHeading___Toc655_3416633461">
            <w:r>
              <w:rPr>
                <w:rStyle w:val="IndexLink"/>
              </w:rPr>
              <w:t>4.4 Interaksi dengan Aparat Penegak Hukum di Luar Unit PPA</w:t>
              <w:tab/>
              <w:t>19</w:t>
            </w:r>
          </w:hyperlink>
        </w:p>
        <w:p>
          <w:pPr>
            <w:pStyle w:val="TOC2"/>
            <w:tabs>
              <w:tab w:val="clear" w:pos="8743"/>
              <w:tab w:val="right" w:pos="9025" w:leader="dot"/>
            </w:tabs>
            <w:rPr/>
          </w:pPr>
          <w:hyperlink w:anchor="__RefHeading___Toc657_3416633461">
            <w:r>
              <w:rPr>
                <w:rStyle w:val="IndexLink"/>
              </w:rPr>
              <w:t>4.5 Mengelola Ambivalensi dan Pencabutan Laporan Pasien</w:t>
              <w:tab/>
              <w:t>20</w:t>
            </w:r>
          </w:hyperlink>
        </w:p>
        <w:p>
          <w:pPr>
            <w:pStyle w:val="TOC2"/>
            <w:tabs>
              <w:tab w:val="clear" w:pos="8743"/>
              <w:tab w:val="right" w:pos="9025" w:leader="dot"/>
            </w:tabs>
            <w:rPr/>
          </w:pPr>
          <w:hyperlink w:anchor="__RefHeading___Toc659_3416633461">
            <w:r>
              <w:rPr>
                <w:rStyle w:val="IndexLink"/>
              </w:rPr>
              <w:t>4.6 Peran Subspesialis Obginsos sebagai Saksi Ahli</w:t>
              <w:tab/>
              <w:t>20</w:t>
            </w:r>
          </w:hyperlink>
        </w:p>
        <w:p>
          <w:pPr>
            <w:pStyle w:val="TOC3"/>
            <w:tabs>
              <w:tab w:val="clear" w:pos="8459"/>
              <w:tab w:val="right" w:pos="9025" w:leader="dot"/>
            </w:tabs>
            <w:rPr/>
          </w:pPr>
          <w:hyperlink w:anchor="__RefHeading___Toc661_3416633461">
            <w:r>
              <w:rPr>
                <w:rStyle w:val="IndexLink"/>
              </w:rPr>
              <w:t>Ringkasan Poin Kunci</w:t>
              <w:tab/>
              <w:t>21</w:t>
            </w:r>
          </w:hyperlink>
        </w:p>
        <w:p>
          <w:pPr>
            <w:pStyle w:val="TOC3"/>
            <w:tabs>
              <w:tab w:val="clear" w:pos="8459"/>
              <w:tab w:val="right" w:pos="9025" w:leader="dot"/>
            </w:tabs>
            <w:rPr/>
          </w:pPr>
          <w:hyperlink w:anchor="__RefHeading___Toc663_3416633461">
            <w:r>
              <w:rPr>
                <w:rStyle w:val="IndexLink"/>
              </w:rPr>
              <w:t>Vignette</w:t>
              <w:tab/>
              <w:t>21</w:t>
            </w:r>
          </w:hyperlink>
        </w:p>
        <w:p>
          <w:pPr>
            <w:pStyle w:val="TOC3"/>
            <w:tabs>
              <w:tab w:val="clear" w:pos="8459"/>
              <w:tab w:val="right" w:pos="9025" w:leader="dot"/>
            </w:tabs>
            <w:rPr/>
          </w:pPr>
          <w:hyperlink w:anchor="__RefHeading___Toc665_3416633461">
            <w:r>
              <w:rPr>
                <w:rStyle w:val="IndexLink"/>
              </w:rPr>
              <w:t>Pertanyaan Refleksi</w:t>
              <w:tab/>
              <w:t>21</w:t>
            </w:r>
          </w:hyperlink>
        </w:p>
        <w:p>
          <w:pPr>
            <w:pStyle w:val="TOC1"/>
            <w:tabs>
              <w:tab w:val="clear" w:pos="9026"/>
              <w:tab w:val="right" w:pos="9025" w:leader="dot"/>
            </w:tabs>
            <w:rPr/>
          </w:pPr>
          <w:hyperlink w:anchor="__RefHeading___Toc667_3416633461">
            <w:r>
              <w:rPr>
                <w:rStyle w:val="IndexLink"/>
              </w:rPr>
              <w:t>Bab 5 — Dokumentasi dan Visum et Repertum: Prosedur dan Batasan</w:t>
              <w:tab/>
              <w:t>22</w:t>
            </w:r>
          </w:hyperlink>
        </w:p>
        <w:p>
          <w:pPr>
            <w:pStyle w:val="TOC2"/>
            <w:tabs>
              <w:tab w:val="clear" w:pos="8743"/>
              <w:tab w:val="right" w:pos="9025" w:leader="dot"/>
            </w:tabs>
            <w:rPr/>
          </w:pPr>
          <w:hyperlink w:anchor="__RefHeading___Toc669_3416633461">
            <w:r>
              <w:rPr>
                <w:rStyle w:val="IndexLink"/>
              </w:rPr>
              <w:t>5.1 Fungsi Ganda Dokumentasi Klinis pada Kasus KBG</w:t>
              <w:tab/>
              <w:t>22</w:t>
            </w:r>
          </w:hyperlink>
        </w:p>
        <w:p>
          <w:pPr>
            <w:pStyle w:val="TOC2"/>
            <w:tabs>
              <w:tab w:val="clear" w:pos="8743"/>
              <w:tab w:val="right" w:pos="9025" w:leader="dot"/>
            </w:tabs>
            <w:rPr/>
          </w:pPr>
          <w:hyperlink w:anchor="__RefHeading___Toc671_3416633461">
            <w:r>
              <w:rPr>
                <w:rStyle w:val="IndexLink"/>
              </w:rPr>
              <w:t>5.2 Prinsip Dokumentasi Forensik Dasar</w:t>
              <w:tab/>
              <w:t>22</w:t>
            </w:r>
          </w:hyperlink>
        </w:p>
        <w:p>
          <w:pPr>
            <w:pStyle w:val="TOC3"/>
            <w:tabs>
              <w:tab w:val="clear" w:pos="8459"/>
              <w:tab w:val="right" w:pos="9025" w:leader="dot"/>
            </w:tabs>
            <w:rPr/>
          </w:pPr>
          <w:hyperlink w:anchor="__RefHeading___Toc673_3416633461">
            <w:r>
              <w:rPr>
                <w:rStyle w:val="IndexLink"/>
              </w:rPr>
              <w:t>5.2.1 Objektivitas dan Deskripsi Non-Interpretatif</w:t>
              <w:tab/>
              <w:t>22</w:t>
            </w:r>
          </w:hyperlink>
        </w:p>
        <w:p>
          <w:pPr>
            <w:pStyle w:val="TOC3"/>
            <w:tabs>
              <w:tab w:val="clear" w:pos="8459"/>
              <w:tab w:val="right" w:pos="9025" w:leader="dot"/>
            </w:tabs>
            <w:rPr/>
          </w:pPr>
          <w:hyperlink w:anchor="__RefHeading___Toc675_3416633461">
            <w:r>
              <w:rPr>
                <w:rStyle w:val="IndexLink"/>
              </w:rPr>
              <w:t>5.2.2 Dokumentasi Verbatim Keterangan Pasien</w:t>
              <w:tab/>
              <w:t>23</w:t>
            </w:r>
          </w:hyperlink>
        </w:p>
        <w:p>
          <w:pPr>
            <w:pStyle w:val="TOC3"/>
            <w:tabs>
              <w:tab w:val="clear" w:pos="8459"/>
              <w:tab w:val="right" w:pos="9025" w:leader="dot"/>
            </w:tabs>
            <w:rPr/>
          </w:pPr>
          <w:hyperlink w:anchor="__RefHeading___Toc677_3416633461">
            <w:r>
              <w:rPr>
                <w:rStyle w:val="IndexLink"/>
              </w:rPr>
              <w:t>5.2.3 Dokumentasi Fotografis</w:t>
              <w:tab/>
              <w:t>23</w:t>
            </w:r>
          </w:hyperlink>
        </w:p>
        <w:p>
          <w:pPr>
            <w:pStyle w:val="TOC2"/>
            <w:tabs>
              <w:tab w:val="clear" w:pos="8743"/>
              <w:tab w:val="right" w:pos="9025" w:leader="dot"/>
            </w:tabs>
            <w:rPr/>
          </w:pPr>
          <w:hyperlink w:anchor="__RefHeading___Toc679_3416633461">
            <w:r>
              <w:rPr>
                <w:rStyle w:val="IndexLink"/>
              </w:rPr>
              <w:t>5.3 Visum et Repertum: Definisi, Kewenangan, dan Prosedur</w:t>
              <w:tab/>
              <w:t>23</w:t>
            </w:r>
          </w:hyperlink>
        </w:p>
        <w:p>
          <w:pPr>
            <w:pStyle w:val="TOC3"/>
            <w:tabs>
              <w:tab w:val="clear" w:pos="8459"/>
              <w:tab w:val="right" w:pos="9025" w:leader="dot"/>
            </w:tabs>
            <w:rPr/>
          </w:pPr>
          <w:hyperlink w:anchor="__RefHeading___Toc681_3416633461">
            <w:r>
              <w:rPr>
                <w:rStyle w:val="IndexLink"/>
              </w:rPr>
              <w:t>5.3.1 Definisi dan Kedudukan Hukum</w:t>
              <w:tab/>
              <w:t>23</w:t>
            </w:r>
          </w:hyperlink>
        </w:p>
        <w:p>
          <w:pPr>
            <w:pStyle w:val="TOC3"/>
            <w:tabs>
              <w:tab w:val="clear" w:pos="8459"/>
              <w:tab w:val="right" w:pos="9025" w:leader="dot"/>
            </w:tabs>
            <w:rPr/>
          </w:pPr>
          <w:hyperlink w:anchor="__RefHeading___Toc683_3416633461">
            <w:r>
              <w:rPr>
                <w:rStyle w:val="IndexLink"/>
              </w:rPr>
              <w:t>5.3.2 Prosedur Pembuatan</w:t>
              <w:tab/>
              <w:t>24</w:t>
            </w:r>
          </w:hyperlink>
        </w:p>
        <w:p>
          <w:pPr>
            <w:pStyle w:val="TOC3"/>
            <w:tabs>
              <w:tab w:val="clear" w:pos="8459"/>
              <w:tab w:val="right" w:pos="9025" w:leader="dot"/>
            </w:tabs>
            <w:rPr/>
          </w:pPr>
          <w:hyperlink w:anchor="__RefHeading___Toc685_3416633461">
            <w:r>
              <w:rPr>
                <w:rStyle w:val="IndexLink"/>
              </w:rPr>
              <w:t>5.3.3 Batasan Kewenangan dalam Kesimpulan Visum</w:t>
              <w:tab/>
              <w:t>24</w:t>
            </w:r>
          </w:hyperlink>
        </w:p>
        <w:p>
          <w:pPr>
            <w:pStyle w:val="TOC2"/>
            <w:tabs>
              <w:tab w:val="clear" w:pos="8743"/>
              <w:tab w:val="right" w:pos="9025" w:leader="dot"/>
            </w:tabs>
            <w:rPr/>
          </w:pPr>
          <w:hyperlink w:anchor="__RefHeading___Toc687_3416633461">
            <w:r>
              <w:rPr>
                <w:rStyle w:val="IndexLink"/>
              </w:rPr>
              <w:t>5.4 Ketersediaan Layanan Visum di Tingkat Masyarakat</w:t>
              <w:tab/>
              <w:t>25</w:t>
            </w:r>
          </w:hyperlink>
        </w:p>
        <w:p>
          <w:pPr>
            <w:pStyle w:val="TOC2"/>
            <w:tabs>
              <w:tab w:val="clear" w:pos="8743"/>
              <w:tab w:val="right" w:pos="9025" w:leader="dot"/>
            </w:tabs>
            <w:rPr/>
          </w:pPr>
          <w:hyperlink w:anchor="__RefHeading___Toc689_3416633461">
            <w:r>
              <w:rPr>
                <w:rStyle w:val="IndexLink"/>
              </w:rPr>
              <w:t>5.5 Kerahasiaan, Persetujuan, dan Pengungkapan kepada Pihak Ketiga</w:t>
              <w:tab/>
              <w:t>25</w:t>
            </w:r>
          </w:hyperlink>
        </w:p>
        <w:p>
          <w:pPr>
            <w:pStyle w:val="TOC3"/>
            <w:tabs>
              <w:tab w:val="clear" w:pos="8459"/>
              <w:tab w:val="right" w:pos="9025" w:leader="dot"/>
            </w:tabs>
            <w:rPr/>
          </w:pPr>
          <w:hyperlink w:anchor="__RefHeading___Toc691_3416633461">
            <w:r>
              <w:rPr>
                <w:rStyle w:val="IndexLink"/>
              </w:rPr>
              <w:t>Ringkasan Poin Kunci</w:t>
              <w:tab/>
              <w:t>25</w:t>
            </w:r>
          </w:hyperlink>
        </w:p>
        <w:p>
          <w:pPr>
            <w:pStyle w:val="TOC3"/>
            <w:tabs>
              <w:tab w:val="clear" w:pos="8459"/>
              <w:tab w:val="right" w:pos="9025" w:leader="dot"/>
            </w:tabs>
            <w:rPr/>
          </w:pPr>
          <w:hyperlink w:anchor="__RefHeading___Toc693_3416633461">
            <w:r>
              <w:rPr>
                <w:rStyle w:val="IndexLink"/>
              </w:rPr>
              <w:t>Vignette</w:t>
              <w:tab/>
              <w:t>26</w:t>
            </w:r>
          </w:hyperlink>
        </w:p>
        <w:p>
          <w:pPr>
            <w:pStyle w:val="TOC3"/>
            <w:tabs>
              <w:tab w:val="clear" w:pos="8459"/>
              <w:tab w:val="right" w:pos="9025" w:leader="dot"/>
            </w:tabs>
            <w:rPr/>
          </w:pPr>
          <w:hyperlink w:anchor="__RefHeading___Toc695_3416633461">
            <w:r>
              <w:rPr>
                <w:rStyle w:val="IndexLink"/>
              </w:rPr>
              <w:t>Pertanyaan Refleksi</w:t>
              <w:tab/>
              <w:t>26</w:t>
            </w:r>
          </w:hyperlink>
        </w:p>
        <w:p>
          <w:pPr>
            <w:pStyle w:val="TOC1"/>
            <w:tabs>
              <w:tab w:val="clear" w:pos="9026"/>
              <w:tab w:val="right" w:pos="9025" w:leader="dot"/>
            </w:tabs>
            <w:rPr/>
          </w:pPr>
          <w:hyperlink w:anchor="__RefHeading___Toc697_3416633461">
            <w:r>
              <w:rPr>
                <w:rStyle w:val="IndexLink"/>
              </w:rPr>
              <w:t>Bab 6 — Pendampingan Psikososial Jangka Panjang bagi Penyintas</w:t>
              <w:tab/>
              <w:t>27</w:t>
            </w:r>
          </w:hyperlink>
        </w:p>
        <w:p>
          <w:pPr>
            <w:pStyle w:val="TOC2"/>
            <w:tabs>
              <w:tab w:val="clear" w:pos="8743"/>
              <w:tab w:val="right" w:pos="9025" w:leader="dot"/>
            </w:tabs>
            <w:rPr/>
          </w:pPr>
          <w:hyperlink w:anchor="__RefHeading___Toc699_3416633461">
            <w:r>
              <w:rPr>
                <w:rStyle w:val="IndexLink"/>
              </w:rPr>
              <w:t>6.1 Melampaui Krisis Akut: Kebutuhan Pendampingan Berkelanjutan</w:t>
              <w:tab/>
              <w:t>27</w:t>
            </w:r>
          </w:hyperlink>
        </w:p>
        <w:p>
          <w:pPr>
            <w:pStyle w:val="TOC2"/>
            <w:tabs>
              <w:tab w:val="clear" w:pos="8743"/>
              <w:tab w:val="right" w:pos="9025" w:leader="dot"/>
            </w:tabs>
            <w:rPr/>
          </w:pPr>
          <w:hyperlink w:anchor="__RefHeading___Toc701_3416633461">
            <w:r>
              <w:rPr>
                <w:rStyle w:val="IndexLink"/>
              </w:rPr>
              <w:t>6.2 Kerangka Pemulihan Bertahap</w:t>
              <w:tab/>
              <w:t>27</w:t>
            </w:r>
          </w:hyperlink>
        </w:p>
        <w:p>
          <w:pPr>
            <w:pStyle w:val="TOC2"/>
            <w:tabs>
              <w:tab w:val="clear" w:pos="8743"/>
              <w:tab w:val="right" w:pos="9025" w:leader="dot"/>
            </w:tabs>
            <w:rPr/>
          </w:pPr>
          <w:hyperlink w:anchor="__RefHeading___Toc703_3416633461">
            <w:r>
              <w:rPr>
                <w:rStyle w:val="IndexLink"/>
              </w:rPr>
              <w:t>6.3 Kolaborasi dengan Layanan Kesehatan Jiwa</w:t>
              <w:tab/>
              <w:t>28</w:t>
            </w:r>
          </w:hyperlink>
        </w:p>
        <w:p>
          <w:pPr>
            <w:pStyle w:val="TOC2"/>
            <w:tabs>
              <w:tab w:val="clear" w:pos="8743"/>
              <w:tab w:val="right" w:pos="9025" w:leader="dot"/>
            </w:tabs>
            <w:rPr/>
          </w:pPr>
          <w:hyperlink w:anchor="__RefHeading___Toc705_3416633461">
            <w:r>
              <w:rPr>
                <w:rStyle w:val="IndexLink"/>
              </w:rPr>
              <w:t>6.4 Dukungan Kelompok Sebaya dan Pemberdayaan Ekonomi</w:t>
              <w:tab/>
              <w:t>28</w:t>
            </w:r>
          </w:hyperlink>
        </w:p>
        <w:p>
          <w:pPr>
            <w:pStyle w:val="TOC2"/>
            <w:tabs>
              <w:tab w:val="clear" w:pos="8743"/>
              <w:tab w:val="right" w:pos="9025" w:leader="dot"/>
            </w:tabs>
            <w:rPr/>
          </w:pPr>
          <w:hyperlink w:anchor="__RefHeading___Toc707_3416633461">
            <w:r>
              <w:rPr>
                <w:rStyle w:val="IndexLink"/>
              </w:rPr>
              <w:t>6.5 Pendampingan bagi Anak yang Terpapar KBG</w:t>
              <w:tab/>
              <w:t>29</w:t>
            </w:r>
          </w:hyperlink>
        </w:p>
        <w:p>
          <w:pPr>
            <w:pStyle w:val="TOC2"/>
            <w:tabs>
              <w:tab w:val="clear" w:pos="8743"/>
              <w:tab w:val="right" w:pos="9025" w:leader="dot"/>
            </w:tabs>
            <w:rPr/>
          </w:pPr>
          <w:hyperlink w:anchor="__RefHeading___Toc709_3416633461">
            <w:r>
              <w:rPr>
                <w:rStyle w:val="IndexLink"/>
              </w:rPr>
              <w:t>6.6 Kesinambungan Layanan dan Manajemen Kasus</w:t>
              <w:tab/>
              <w:t>29</w:t>
            </w:r>
          </w:hyperlink>
        </w:p>
        <w:p>
          <w:pPr>
            <w:pStyle w:val="TOC2"/>
            <w:tabs>
              <w:tab w:val="clear" w:pos="8743"/>
              <w:tab w:val="right" w:pos="9025" w:leader="dot"/>
            </w:tabs>
            <w:rPr/>
          </w:pPr>
          <w:hyperlink w:anchor="__RefHeading___Toc711_3416633461">
            <w:r>
              <w:rPr>
                <w:rStyle w:val="IndexLink"/>
              </w:rPr>
              <w:t>6.7 Evaluasi Keberhasilan Pendampingan</w:t>
              <w:tab/>
              <w:t>29</w:t>
            </w:r>
          </w:hyperlink>
        </w:p>
        <w:p>
          <w:pPr>
            <w:pStyle w:val="TOC3"/>
            <w:tabs>
              <w:tab w:val="clear" w:pos="8459"/>
              <w:tab w:val="right" w:pos="9025" w:leader="dot"/>
            </w:tabs>
            <w:rPr/>
          </w:pPr>
          <w:hyperlink w:anchor="__RefHeading___Toc713_3416633461">
            <w:r>
              <w:rPr>
                <w:rStyle w:val="IndexLink"/>
              </w:rPr>
              <w:t>Ringkasan Poin Kunci</w:t>
              <w:tab/>
              <w:t>30</w:t>
            </w:r>
          </w:hyperlink>
        </w:p>
        <w:p>
          <w:pPr>
            <w:pStyle w:val="TOC3"/>
            <w:tabs>
              <w:tab w:val="clear" w:pos="8459"/>
              <w:tab w:val="right" w:pos="9025" w:leader="dot"/>
            </w:tabs>
            <w:rPr/>
          </w:pPr>
          <w:hyperlink w:anchor="__RefHeading___Toc715_3416633461">
            <w:r>
              <w:rPr>
                <w:rStyle w:val="IndexLink"/>
              </w:rPr>
              <w:t>Vignette</w:t>
              <w:tab/>
              <w:t>30</w:t>
            </w:r>
          </w:hyperlink>
        </w:p>
        <w:p>
          <w:pPr>
            <w:pStyle w:val="TOC3"/>
            <w:tabs>
              <w:tab w:val="clear" w:pos="8459"/>
              <w:tab w:val="right" w:pos="9025" w:leader="dot"/>
            </w:tabs>
            <w:rPr/>
          </w:pPr>
          <w:hyperlink w:anchor="__RefHeading___Toc717_3416633461">
            <w:r>
              <w:rPr>
                <w:rStyle w:val="IndexLink"/>
              </w:rPr>
              <w:t>Pertanyaan Refleksi</w:t>
              <w:tab/>
              <w:t>30</w:t>
            </w:r>
          </w:hyperlink>
        </w:p>
        <w:p>
          <w:pPr>
            <w:pStyle w:val="TOC1"/>
            <w:tabs>
              <w:tab w:val="clear" w:pos="9026"/>
              <w:tab w:val="right" w:pos="9025" w:leader="dot"/>
            </w:tabs>
            <w:rPr/>
          </w:pPr>
          <w:hyperlink w:anchor="__RefHeading___Toc719_3416633461">
            <w:r>
              <w:rPr>
                <w:rStyle w:val="IndexLink"/>
              </w:rPr>
              <w:t>Glosarium</w:t>
              <w:tab/>
              <w:t>31</w:t>
            </w:r>
          </w:hyperlink>
        </w:p>
        <w:p>
          <w:pPr>
            <w:pStyle w:val="TOC1"/>
            <w:tabs>
              <w:tab w:val="clear" w:pos="9026"/>
              <w:tab w:val="right" w:pos="9025" w:leader="dot"/>
            </w:tabs>
            <w:rPr/>
          </w:pPr>
          <w:hyperlink w:anchor="__RefHeading___Toc721_3416633461">
            <w:r>
              <w:rPr>
                <w:rStyle w:val="IndexLink"/>
              </w:rPr>
              <w:t>Daftar Referensi</w:t>
              <w:tab/>
              <w:t>33</w:t>
            </w:r>
          </w:hyperlink>
        </w:p>
        <w:p>
          <w:pPr>
            <w:pStyle w:val="TOC2"/>
            <w:tabs>
              <w:tab w:val="clear" w:pos="8743"/>
              <w:tab w:val="right" w:pos="9025" w:leader="dot"/>
            </w:tabs>
            <w:rPr/>
          </w:pPr>
          <w:hyperlink w:anchor="__RefHeading___Toc723_3416633461">
            <w:r>
              <w:rPr>
                <w:rStyle w:val="IndexLink"/>
              </w:rPr>
              <w:t>Peraturan Perundang-undangan dan Regulasi</w:t>
              <w:tab/>
              <w:t>33</w:t>
            </w:r>
          </w:hyperlink>
        </w:p>
        <w:p>
          <w:pPr>
            <w:pStyle w:val="TOC2"/>
            <w:tabs>
              <w:tab w:val="clear" w:pos="8743"/>
              <w:tab w:val="right" w:pos="9025" w:leader="dot"/>
            </w:tabs>
            <w:rPr/>
          </w:pPr>
          <w:hyperlink w:anchor="__RefHeading___Toc725_3416633461">
            <w:r>
              <w:rPr>
                <w:rStyle w:val="IndexLink"/>
              </w:rPr>
              <w:t>Dokumen Internal Seri Pedoman RS (Perpustakaan Digital ABBA)</w:t>
              <w:tab/>
              <w:t>33</w:t>
            </w:r>
          </w:hyperlink>
        </w:p>
        <w:p>
          <w:pPr>
            <w:pStyle w:val="TOC2"/>
            <w:tabs>
              <w:tab w:val="clear" w:pos="8743"/>
              <w:tab w:val="right" w:pos="9025" w:leader="dot"/>
            </w:tabs>
            <w:rPr/>
          </w:pPr>
          <w:hyperlink w:anchor="__RefHeading___Toc727_3416633461">
            <w:r>
              <w:rPr>
                <w:rStyle w:val="IndexLink"/>
              </w:rPr>
              <w:t>Literatur dan Pedoman Organisasi Profesi</w:t>
              <w:tab/>
              <w:t>34</w:t>
            </w:r>
          </w:hyperlink>
          <w:r>
            <w:rPr>
              <w:rStyle w:val="IndexLink"/>
            </w:rPr>
            <w:fldChar w:fldCharType="end"/>
          </w:r>
        </w:p>
      </w:sdtContent>
    </w:sdt>
    <w:p>
      <w:pPr>
        <w:pStyle w:val="Normal"/>
        <w:rPr/>
      </w:pPr>
      <w:r>
        <w:rPr/>
      </w:r>
    </w:p>
    <w:p>
      <w:pPr>
        <w:pStyle w:val="Normal"/>
        <w:rPr/>
      </w:pPr>
      <w:r>
        <w:rPr/>
      </w:r>
      <w:r>
        <w:br w:type="page"/>
      </w:r>
    </w:p>
    <w:p>
      <w:pPr>
        <w:pStyle w:val="Heading1"/>
        <w:spacing w:before="0" w:after="160"/>
        <w:rPr/>
      </w:pPr>
      <w:bookmarkStart w:id="1" w:name="__RefHeading___Toc567_3416633461"/>
      <w:bookmarkEnd w:id="1"/>
      <w:r>
        <w:rPr/>
        <w:t>Bab 1 — Spektrum Kekerasan Berbasis Gender: KDRT, Kekerasan Seksual, Eksploitasi</w:t>
      </w:r>
    </w:p>
    <w:p>
      <w:pPr>
        <w:pStyle w:val="Heading2"/>
        <w:spacing w:before="320" w:after="160"/>
        <w:rPr/>
      </w:pPr>
      <w:bookmarkStart w:id="2" w:name="__RefHeading___Toc569_3416633461"/>
      <w:bookmarkEnd w:id="2"/>
      <w:r>
        <w:rPr/>
        <w:t>1.1 Kekerasan Berbasis Gender sebagai Isu Kesehatan Reproduksi</w:t>
      </w:r>
    </w:p>
    <w:p>
      <w:pPr>
        <w:pStyle w:val="Normal"/>
        <w:spacing w:lineRule="exact" w:line="276" w:before="0" w:after="160"/>
        <w:rPr/>
      </w:pPr>
      <w:r>
        <w:rPr>
          <w:rFonts w:eastAsia="Calibri" w:cs="Calibri"/>
          <w:i/>
          <w:iCs/>
          <w:color w:val="444444"/>
        </w:rPr>
        <w:t>Bayangkan seorang Pasien yang tampak "baik-baik saja" di ruang periksa — tersenyum, kooperatif, tidak mengeluh apa pun — namun pulang ke rumah tempat setiap keputusan atas tubuhnya dikendalikan orang lain. Jika Subspesialis Obginsos memandang kekerasan berbasis gender sebagai urusan di luar kompetensi klinis, Pasien semacam ini akan terus luput dari perhatian sampai terlambat.</w:t>
      </w:r>
    </w:p>
    <w:p>
      <w:pPr>
        <w:pStyle w:val="Normal"/>
        <w:spacing w:lineRule="exact" w:line="276" w:before="0" w:after="160"/>
        <w:rPr/>
      </w:pPr>
      <w:r>
        <w:rPr>
          <w:rFonts w:eastAsia="Calibri" w:cs="Calibri"/>
        </w:rPr>
        <w:t>Kekerasan berbasis gender (KBG) bukan semata persoalan hukum atau sosial yang berada di luar kompetensi klinis Subspesialis Obginsos, melainkan determinan langsung dari morbiditas dan mortalitas kesehatan reproduksi. Pasien yang mengalami KBG memiliki risiko lebih tinggi mengalami kehamilan tidak diinginkan, komplikasi obstetri, infeksi menular seksual, gangguan kesehatan jiwa perinatal, dan — pada kasus terberat — kematian maternal akibat kekerasan fisik langsung maupun akibat keterlambatan mencari layanan karena kontrol koersif oleh pelaku.</w:t>
      </w:r>
    </w:p>
    <w:p>
      <w:pPr>
        <w:pStyle w:val="Normal"/>
        <w:pBdr>
          <w:left w:val="single" w:sz="24" w:space="8" w:color="A9812F"/>
        </w:pBdr>
        <w:shd w:val="clear" w:fill="F7F0E1"/>
        <w:spacing w:before="0" w:after="60"/>
        <w:ind w:left="200"/>
        <w:rPr/>
      </w:pPr>
      <w:r>
        <w:rPr>
          <w:rFonts w:eastAsia="Calibri" w:cs="Calibri"/>
          <w:b/>
          <w:bCs/>
          <w:color w:val="A9812F"/>
          <w:sz w:val="20"/>
          <w:szCs w:val="20"/>
        </w:rPr>
        <w:t>DASAR HUKUM</w:t>
      </w:r>
    </w:p>
    <w:p>
      <w:pPr>
        <w:pStyle w:val="Normal"/>
        <w:pBdr>
          <w:left w:val="single" w:sz="24" w:space="8" w:color="A9812F"/>
        </w:pBdr>
        <w:shd w:val="clear" w:fill="F7F0E1"/>
        <w:spacing w:lineRule="exact" w:line="276" w:before="0" w:after="200"/>
        <w:ind w:left="200"/>
        <w:rPr/>
      </w:pPr>
      <w:r>
        <w:rPr>
          <w:rFonts w:eastAsia="Calibri" w:cs="Calibri"/>
        </w:rPr>
        <w:t>Undang-Undang Nomor 17 Tahun 2023 tentang Kesehatan menempatkan pelindungan terhadap kekerasan, termasuk kekerasan berbasis gender, sebagai bagian dari upaya kesehatan reproduksi yang wajib diselenggarakan secara berjenjang oleh fasilitas pelayanan kesehatan, dengan pengaturan lebih lanjut pada Peraturan Pemerintah Nomor 28 Tahun 2024 tentang Peraturan Pelaksanaan UU 17/2023.</w:t>
      </w:r>
    </w:p>
    <w:p>
      <w:pPr>
        <w:pStyle w:val="Normal"/>
        <w:spacing w:lineRule="exact" w:line="276" w:before="0" w:after="160"/>
        <w:rPr/>
      </w:pPr>
      <w:r>
        <w:rPr>
          <w:rFonts w:eastAsia="Calibri" w:cs="Calibri"/>
        </w:rPr>
        <w:t>Praktik Obginsos berada pada persimpangan yang unik: subspesialis ini menemui penyintas KBG bukan hanya pada momen krisis akut di Rumah Sakit, tetapi juga secara berkelanjutan di layanan tingkat masyarakat — Puskesmas, Posyandu, layanan konseling komunitas — di mana pola kekerasan yang sifatnya kronis dan tersembunyi (pendam) justru lebih sering ditemukan. Bab ini menyediakan kerangka konseptual spektrum KBG sebagai dasar bagi bab-bab deteksi, pendampingan, dan dokumentasi selanjutnya.</w:t>
      </w:r>
    </w:p>
    <w:p>
      <w:pPr>
        <w:pStyle w:val="Normal"/>
        <w:pBdr>
          <w:left w:val="single" w:sz="24" w:space="8" w:color="2E6F6E"/>
        </w:pBdr>
        <w:shd w:val="clear" w:fill="E6F0EF"/>
        <w:spacing w:before="0" w:after="60"/>
        <w:ind w:left="200"/>
        <w:rPr/>
      </w:pPr>
      <w:r>
        <w:rPr>
          <w:rFonts w:eastAsia="Calibri" w:cs="Calibri"/>
          <w:b/>
          <w:bCs/>
          <w:color w:val="2E6F6E"/>
          <w:sz w:val="20"/>
          <w:szCs w:val="20"/>
        </w:rPr>
        <w:t>ILUSTRASI PENERAPAN</w:t>
      </w:r>
    </w:p>
    <w:p>
      <w:pPr>
        <w:pStyle w:val="Normal"/>
        <w:pBdr>
          <w:left w:val="single" w:sz="24" w:space="8" w:color="2E6F6E"/>
        </w:pBdr>
        <w:shd w:val="clear" w:fill="E6F0EF"/>
        <w:spacing w:lineRule="exact" w:line="276" w:before="0" w:after="200"/>
        <w:ind w:left="200"/>
        <w:rPr/>
      </w:pPr>
      <w:r>
        <w:rPr>
          <w:rFonts w:eastAsia="Calibri" w:cs="Calibri"/>
        </w:rPr>
        <w:t>Sebuah Puskesmas mencatat bahwa dalam satu tahun, tiga Pasien yang meninggal akibat komplikasi obstetri ternyata memiliki riwayat kunjungan antenatal yang terlambat dan tidak lengkap. Audit maternal menemukan pola yang sama pada ketiganya: pasangan yang mengontrol akses transportasi dan uang. Tanpa kerangka KBG sebagai determinan kesehatan reproduksi, ketiga kasus ini akan tercatat semata sebagai "keterlambatan rujukan" tanpa pernah menyentuh akar penyebabnya.</w:t>
      </w:r>
    </w:p>
    <w:p>
      <w:pPr>
        <w:pStyle w:val="Heading2"/>
        <w:spacing w:before="320" w:after="160"/>
        <w:rPr/>
      </w:pPr>
      <w:bookmarkStart w:id="3" w:name="__RefHeading___Toc571_3416633461"/>
      <w:bookmarkEnd w:id="3"/>
      <w:r>
        <w:rPr/>
        <w:t>1.2 Definisi dan Ruang Lingkup Konseptual</w:t>
      </w:r>
    </w:p>
    <w:p>
      <w:pPr>
        <w:pStyle w:val="Normal"/>
        <w:spacing w:lineRule="exact" w:line="276" w:before="0" w:after="160"/>
        <w:rPr/>
      </w:pPr>
      <w:r>
        <w:rPr>
          <w:rFonts w:eastAsia="Calibri" w:cs="Calibri"/>
          <w:i/>
          <w:iCs/>
          <w:color w:val="444444"/>
        </w:rPr>
        <w:t>Sebelum dapat mendeteksi dan menangani KBG secara klinis, Subspesialis Obginsos perlu bahasa dan batasan konsep yang sama — agar tidak ada bentuk kekerasan yang "terlewat" hanya karena tidak sesuai bayangan populer tentang seperti apa KBG itu.</w:t>
      </w:r>
    </w:p>
    <w:p>
      <w:pPr>
        <w:pStyle w:val="Normal"/>
        <w:spacing w:lineRule="exact" w:line="276" w:before="0" w:after="160"/>
        <w:rPr/>
      </w:pPr>
      <w:r>
        <w:rPr>
          <w:rFonts w:eastAsia="Calibri" w:cs="Calibri"/>
        </w:rPr>
        <w:t>Kekerasan berbasis gender didefinisikan secara luas sebagai setiap tindakan yang mengakibatkan atau berpotensi mengakibatkan penderitaan fisik, seksual, psikologis, atau ekonomi, yang penyebabnya berakar pada relasi kuasa yang timpang berdasarkan gender. Definisi ini sengaja tidak dibatasi pada relasi rumah tangga maupun pada korban perempuan semata, meskipun secara epidemiologis mayoritas kasus yang ditemui Subspesialis Obginsos melibatkan perempuan dan anak perempuan sebagai penyintas.</w:t>
      </w:r>
    </w:p>
    <w:p>
      <w:pPr>
        <w:pStyle w:val="Normal"/>
        <w:spacing w:lineRule="exact" w:line="276" w:before="0" w:after="160"/>
        <w:rPr/>
      </w:pPr>
      <w:r>
        <w:rPr>
          <w:rFonts w:eastAsia="Calibri" w:cs="Calibri"/>
        </w:rPr>
        <w:t>Tiga domain besar yang perlu dipahami secara terpisah namun saling beririsan:</w:t>
      </w:r>
    </w:p>
    <w:p>
      <w:pPr>
        <w:pStyle w:val="Heading3"/>
        <w:spacing w:before="320" w:after="160"/>
        <w:rPr/>
      </w:pPr>
      <w:bookmarkStart w:id="4" w:name="__RefHeading___Toc573_3416633461"/>
      <w:bookmarkEnd w:id="4"/>
      <w:r>
        <w:rPr/>
        <w:t>1.2.1 Kekerasan dalam Rumah Tangga (KDRT)</w:t>
      </w:r>
    </w:p>
    <w:p>
      <w:pPr>
        <w:pStyle w:val="Normal"/>
        <w:spacing w:lineRule="exact" w:line="276" w:before="0" w:after="160"/>
        <w:rPr/>
      </w:pPr>
      <w:r>
        <w:rPr>
          <w:rFonts w:eastAsia="Calibri" w:cs="Calibri"/>
          <w:i/>
          <w:iCs/>
          <w:color w:val="444444"/>
        </w:rPr>
        <w:t>Banyak petugas kesehatan membayangkan KDRT sebagai memar dan luka yang jelas terlihat — padahal bentuk yang lebih umum justru tidak meninggalkan jejak fisik sama sekali.</w:t>
      </w:r>
    </w:p>
    <w:p>
      <w:pPr>
        <w:pStyle w:val="Normal"/>
        <w:spacing w:lineRule="exact" w:line="276" w:before="0" w:after="160"/>
        <w:rPr/>
      </w:pPr>
      <w:r>
        <w:rPr>
          <w:rFonts w:eastAsia="Calibri" w:cs="Calibri"/>
        </w:rPr>
        <w:t>KDRT mencakup kekerasan fisik, psikologis, seksual, dan penelantaran ekonomi yang terjadi dalam relasi domestik — pasangan intim (suami-istri, pasangan tidak menikah yang tinggal serumah), maupun relasi keluarga lain (menantu-mertua, orang tua-anak dewasa). Karakteristik khas KDRT yang membedakannya dari kekerasan oleh orang asing adalah pola siklikal (siklus ketegangan-ledakan-rekonsiliasi/"bulan madu"), eskalasi bertahap, dan adanya faktor ketergantungan ekonomi/emosional yang mempersulit penyintas untuk keluar dari relasi tersebut.</w:t>
      </w:r>
    </w:p>
    <w:p>
      <w:pPr>
        <w:pStyle w:val="Normal"/>
        <w:pBdr>
          <w:left w:val="single" w:sz="24" w:space="8" w:color="2E6F6E"/>
        </w:pBdr>
        <w:shd w:val="clear" w:fill="E6F0EF"/>
        <w:spacing w:before="0" w:after="60"/>
        <w:ind w:left="200"/>
        <w:rPr/>
      </w:pPr>
      <w:r>
        <w:rPr>
          <w:rFonts w:eastAsia="Calibri" w:cs="Calibri"/>
          <w:b/>
          <w:bCs/>
          <w:color w:val="2E6F6E"/>
          <w:sz w:val="20"/>
          <w:szCs w:val="20"/>
        </w:rPr>
        <w:t>ILUSTRASI PENERAPAN</w:t>
      </w:r>
    </w:p>
    <w:p>
      <w:pPr>
        <w:pStyle w:val="Normal"/>
        <w:pBdr>
          <w:left w:val="single" w:sz="24" w:space="8" w:color="2E6F6E"/>
        </w:pBdr>
        <w:shd w:val="clear" w:fill="E6F0EF"/>
        <w:spacing w:lineRule="exact" w:line="276" w:before="0" w:after="200"/>
        <w:ind w:left="200"/>
        <w:rPr/>
      </w:pPr>
      <w:r>
        <w:rPr>
          <w:rFonts w:eastAsia="Calibri" w:cs="Calibri"/>
        </w:rPr>
        <w:t>Ny. S telah empat kali kontrol kehamilan tanpa satu pun memar terlihat. Namun bidan menyadari pola: Ny. S selalu terburu-buru pulang, tidak pernah membawa uang sendiri untuk membeli vitamin yang diresepkan, dan sekali berkata "suami saya tidak suka saya lama-lama di sini." Pola ini — bukan luka fisik — yang menjadi tanda peringatan pertama KDRT pada kasus Ny. S.</w:t>
      </w:r>
    </w:p>
    <w:p>
      <w:pPr>
        <w:pStyle w:val="Heading3"/>
        <w:spacing w:before="320" w:after="160"/>
        <w:rPr/>
      </w:pPr>
      <w:bookmarkStart w:id="5" w:name="__RefHeading___Toc575_3416633461"/>
      <w:bookmarkEnd w:id="5"/>
      <w:r>
        <w:rPr/>
        <w:t>1.2.2 Kekerasan Seksual</w:t>
      </w:r>
    </w:p>
    <w:p>
      <w:pPr>
        <w:pStyle w:val="Normal"/>
        <w:spacing w:lineRule="exact" w:line="276" w:before="0" w:after="160"/>
        <w:rPr/>
      </w:pPr>
      <w:r>
        <w:rPr>
          <w:rFonts w:eastAsia="Calibri" w:cs="Calibri"/>
          <w:i/>
          <w:iCs/>
          <w:color w:val="444444"/>
        </w:rPr>
        <w:t>Ketiadaan luka bukan berarti ketiadaan kekerasan seksual — sebuah kekeliruan yang, bila dipegang oleh tenaga kesehatan, dapat menutup pintu pengungkapan sejak awal.</w:t>
      </w:r>
    </w:p>
    <w:p>
      <w:pPr>
        <w:pStyle w:val="Normal"/>
        <w:spacing w:lineRule="exact" w:line="276" w:before="0" w:after="160"/>
        <w:rPr/>
      </w:pPr>
      <w:r>
        <w:rPr>
          <w:rFonts w:eastAsia="Calibri" w:cs="Calibri"/>
        </w:rPr>
        <w:t>Kekerasan seksual mencakup spektrum luas: dari pelecehan seksual verbal dan nonverbal, pemaksaan hubungan seksual dalam relasi (termasuk dalam perkawinan — konsep bahwa status perkawinan tidak menghapus hak atas persetujuan), hingga perkosaan oleh pasangan maupun orang asing, serta eksploitasi seksual anak. Penting bagi Subspesialis Obginsos untuk memahami bahwa kekerasan seksual sering hadir tanpa jejak fisik yang tampak, terutama bila kejadian sudah berlangsung lebih dari 72 jam sebelum kontak dengan layanan kesehatan — sehingga skrining tidak boleh bergantung semata pada temuan pemeriksaan fisik.</w:t>
      </w:r>
    </w:p>
    <w:p>
      <w:pPr>
        <w:pStyle w:val="Normal"/>
        <w:pBdr>
          <w:left w:val="single" w:sz="24" w:space="8" w:color="2E6F6E"/>
        </w:pBdr>
        <w:shd w:val="clear" w:fill="E6F0EF"/>
        <w:spacing w:before="0" w:after="60"/>
        <w:ind w:left="200"/>
        <w:rPr/>
      </w:pPr>
      <w:r>
        <w:rPr>
          <w:rFonts w:eastAsia="Calibri" w:cs="Calibri"/>
          <w:b/>
          <w:bCs/>
          <w:color w:val="2E6F6E"/>
          <w:sz w:val="20"/>
          <w:szCs w:val="20"/>
        </w:rPr>
        <w:t>ILUSTRASI PENERAPAN</w:t>
      </w:r>
    </w:p>
    <w:p>
      <w:pPr>
        <w:pStyle w:val="Normal"/>
        <w:pBdr>
          <w:left w:val="single" w:sz="24" w:space="8" w:color="2E6F6E"/>
        </w:pBdr>
        <w:shd w:val="clear" w:fill="E6F0EF"/>
        <w:spacing w:lineRule="exact" w:line="276" w:before="0" w:after="200"/>
        <w:ind w:left="200"/>
        <w:rPr/>
      </w:pPr>
      <w:r>
        <w:rPr>
          <w:rFonts w:eastAsia="Calibri" w:cs="Calibri"/>
        </w:rPr>
        <w:t>Seorang Pasien menikah datang dengan keluhan nyeri panggul kronis tanpa penjelasan organik yang jelas setelah pemeriksaan lengkap. Baru pada anamnesis privat di kunjungan ketiga, ia mengungkapkan bahwa suaminya memaksakan hubungan seksual meski ia menolak — sesuatu yang selama ini tidak ia sebut sebagai "kekerasan" karena mengira hal itu adalah kewajiban istri.</w:t>
      </w:r>
    </w:p>
    <w:p>
      <w:pPr>
        <w:pStyle w:val="Heading3"/>
        <w:spacing w:before="320" w:after="160"/>
        <w:rPr/>
      </w:pPr>
      <w:bookmarkStart w:id="6" w:name="__RefHeading___Toc577_3416633461"/>
      <w:bookmarkEnd w:id="6"/>
      <w:r>
        <w:rPr/>
        <w:t>1.2.3 Eksploitasi</w:t>
      </w:r>
    </w:p>
    <w:p>
      <w:pPr>
        <w:pStyle w:val="Normal"/>
        <w:spacing w:lineRule="exact" w:line="276" w:before="0" w:after="160"/>
        <w:rPr/>
      </w:pPr>
      <w:r>
        <w:rPr>
          <w:rFonts w:eastAsia="Calibri" w:cs="Calibri"/>
          <w:i/>
          <w:iCs/>
          <w:color w:val="444444"/>
        </w:rPr>
        <w:t>Domain ini paling mudah luput karena Pasien jarang datang dengan keluhan yang secara eksplisit mengarah ke eksploitasi — presentasi klinisnya justru menyamar sebagai pola kebidanan biasa.</w:t>
      </w:r>
    </w:p>
    <w:p>
      <w:pPr>
        <w:pStyle w:val="Normal"/>
        <w:spacing w:lineRule="exact" w:line="276" w:before="0" w:after="160"/>
        <w:rPr/>
      </w:pPr>
      <w:r>
        <w:rPr>
          <w:rFonts w:eastAsia="Calibri" w:cs="Calibri"/>
        </w:rPr>
        <w:t>Eksploitasi berbasis gender mencakup perdagangan orang (khususnya perempuan dan anak) untuk tujuan seksual maupun kerja paksa, eksploitasi seksual komersial, perkawinan anak yang dipaksakan, dan bentuk-bentuk kontrol koersif ekonomi yang membatasi otonomi penyintas atas tubuh dan keputusan reproduksinya sendiri. Domain ini paling sering luput dari deteksi karena penyintas jarang datang dengan keluhan yang secara eksplisit mengarah pada eksploitasi; presentasi klinis lebih sering berupa kehamilan berulang, infeksi menular seksual berulang, atau ketidaksesuaian antara usia dan status perkawinan/kehamilan.</w:t>
      </w:r>
    </w:p>
    <w:p>
      <w:pPr>
        <w:pStyle w:val="Normal"/>
        <w:pBdr>
          <w:left w:val="single" w:sz="24" w:space="8" w:color="2E6F6E"/>
        </w:pBdr>
        <w:shd w:val="clear" w:fill="E6F0EF"/>
        <w:spacing w:before="0" w:after="60"/>
        <w:ind w:left="200"/>
        <w:rPr/>
      </w:pPr>
      <w:r>
        <w:rPr>
          <w:rFonts w:eastAsia="Calibri" w:cs="Calibri"/>
          <w:b/>
          <w:bCs/>
          <w:color w:val="2E6F6E"/>
          <w:sz w:val="20"/>
          <w:szCs w:val="20"/>
        </w:rPr>
        <w:t>ILUSTRASI PENERAPAN</w:t>
      </w:r>
    </w:p>
    <w:p>
      <w:pPr>
        <w:pStyle w:val="Normal"/>
        <w:pBdr>
          <w:left w:val="single" w:sz="24" w:space="8" w:color="2E6F6E"/>
        </w:pBdr>
        <w:shd w:val="clear" w:fill="E6F0EF"/>
        <w:spacing w:lineRule="exact" w:line="276" w:before="0" w:after="200"/>
        <w:ind w:left="200"/>
        <w:rPr/>
      </w:pPr>
      <w:r>
        <w:rPr>
          <w:rFonts w:eastAsia="Calibri" w:cs="Calibri"/>
        </w:rPr>
        <w:t>Seorang remaja berusia 16 tahun datang dengan kehamilan kedua, terdaftar sebagai "istri" dari laki-laki berusia 40 tahun yang selalu mendampingi dan menjawab semua pertanyaan. Ketidaksesuaian usia yang mencolok dan pola kehamilan berulang pada usia sangat muda adalah tanda yang seharusnya memicu kecurigaan eksploitasi/perkawinan anak, bukan sekadar dicatat sebagai "kehamilan remaja."</w:t>
      </w:r>
    </w:p>
    <w:p>
      <w:pPr>
        <w:pStyle w:val="Heading2"/>
        <w:spacing w:before="320" w:after="160"/>
        <w:rPr/>
      </w:pPr>
      <w:bookmarkStart w:id="7" w:name="__RefHeading___Toc579_3416633461"/>
      <w:bookmarkEnd w:id="7"/>
      <w:r>
        <w:rPr/>
        <w:t>1.3 Model Kontrol Koersif: Melampaui Insiden Tunggal</w:t>
      </w:r>
    </w:p>
    <w:p>
      <w:pPr>
        <w:pStyle w:val="Normal"/>
        <w:spacing w:lineRule="exact" w:line="276" w:before="0" w:after="160"/>
        <w:rPr/>
      </w:pPr>
      <w:r>
        <w:rPr>
          <w:rFonts w:eastAsia="Calibri" w:cs="Calibri"/>
          <w:i/>
          <w:iCs/>
          <w:color w:val="444444"/>
        </w:rPr>
        <w:t>Bagi tenaga kesehatan yang terbiasa berpikir dalam kerangka "kejadian" — cedera pada tanggal tertentu, keluhan pada kunjungan tertentu — kerangka kontrol koersif menuntut cara pandang yang sama sekali berbeda: kekerasan sebagai pola yang menetap, bukan insiden yang lewat.</w:t>
      </w:r>
    </w:p>
    <w:p>
      <w:pPr>
        <w:pStyle w:val="Normal"/>
        <w:spacing w:lineRule="exact" w:line="276" w:before="0" w:after="160"/>
        <w:rPr/>
      </w:pPr>
      <w:r>
        <w:rPr>
          <w:rFonts w:eastAsia="Calibri" w:cs="Calibri"/>
        </w:rPr>
        <w:t>Pendekatan klinis yang keliru adalah memandang KBG sebagai rangkaian insiden kekerasan fisik yang terisolasi. Kerangka kontrol koersif (*coercive control*) memahami KBG sebagai pola berkelanjutan dari intimidasi, isolasi sosial, kontrol finansial, dan degradasi psikologis, di mana kekerasan fisik — bila ada — hanyalah salah satu instrumen di antara banyak instrumen kontrol. Pemahaman ini penting secara klinis karena:</w:t>
      </w:r>
    </w:p>
    <w:p>
      <w:pPr>
        <w:pStyle w:val="Normal"/>
        <w:spacing w:lineRule="exact" w:line="276" w:before="0" w:after="100"/>
        <w:ind w:hanging="260" w:left="400"/>
        <w:rPr/>
      </w:pPr>
      <w:r>
        <w:rPr>
          <w:rFonts w:eastAsia="Calibri" w:cs="Calibri"/>
        </w:rPr>
        <w:t>1. Penyintas kontrol koersif sering tidak melaporkan kekerasan fisik karena memang jarang terjadi atau baru muncul di tahap lanjut, sehingga skrining yang hanya menanyakan "apakah Anda pernah dipukul" akan menghasilkan banyak negatif palsu (lihat Bab 2).</w:t>
      </w:r>
    </w:p>
    <w:p>
      <w:pPr>
        <w:pStyle w:val="Normal"/>
        <w:spacing w:lineRule="exact" w:line="276" w:before="0" w:after="100"/>
        <w:ind w:hanging="260" w:left="400"/>
        <w:rPr/>
      </w:pPr>
      <w:r>
        <w:rPr>
          <w:rFonts w:eastAsia="Calibri" w:cs="Calibri"/>
        </w:rPr>
        <w:t>2. Risiko tertinggi kematian akibat KBG (femisida) justru terjadi pada fase upaya penyintas untuk keluar dari relasi terkontrol — bukan semata pada puncak kekerasan fisik.</w:t>
      </w:r>
    </w:p>
    <w:p>
      <w:pPr>
        <w:pStyle w:val="Normal"/>
        <w:spacing w:lineRule="exact" w:line="276" w:before="0" w:after="100"/>
        <w:ind w:hanging="260" w:left="400"/>
        <w:rPr/>
      </w:pPr>
      <w:r>
        <w:rPr>
          <w:rFonts w:eastAsia="Calibri" w:cs="Calibri"/>
        </w:rPr>
        <w:t>3. Dampak psikologis kontrol koersif (yang akan dibahas lebih lanjut sebagai dasar Bab 3 tentang pendekatan trauma-informed) sering lebih menetap dibandingkan dampak dari insiden kekerasan fisik tunggal.</w:t>
      </w:r>
    </w:p>
    <w:p>
      <w:pPr>
        <w:pStyle w:val="Normal"/>
        <w:pBdr>
          <w:left w:val="single" w:sz="24" w:space="8" w:color="2E6F6E"/>
        </w:pBdr>
        <w:shd w:val="clear" w:fill="E6F0EF"/>
        <w:spacing w:before="0" w:after="60"/>
        <w:ind w:left="200"/>
        <w:rPr/>
      </w:pPr>
      <w:r>
        <w:rPr>
          <w:rFonts w:eastAsia="Calibri" w:cs="Calibri"/>
          <w:b/>
          <w:bCs/>
          <w:color w:val="2E6F6E"/>
          <w:sz w:val="20"/>
          <w:szCs w:val="20"/>
        </w:rPr>
        <w:t>ILUSTRASI PENERAPAN</w:t>
      </w:r>
    </w:p>
    <w:p>
      <w:pPr>
        <w:pStyle w:val="Normal"/>
        <w:pBdr>
          <w:left w:val="single" w:sz="24" w:space="8" w:color="2E6F6E"/>
        </w:pBdr>
        <w:shd w:val="clear" w:fill="E6F0EF"/>
        <w:spacing w:lineRule="exact" w:line="276" w:before="0" w:after="200"/>
        <w:ind w:left="200"/>
        <w:rPr/>
      </w:pPr>
      <w:r>
        <w:rPr>
          <w:rFonts w:eastAsia="Calibri" w:cs="Calibri"/>
        </w:rPr>
        <w:t>Ny. T tidak pernah dipukul sepanjang delapan tahun pernikahannya. Namun suaminya mengatur seluruh keuangan, melarangnya bekerja, memantau ponselnya, dan mengancam akan merebut hak asuh anak jika ia "macam-macam." Ketika akhirnya Ny. T mencoba pindah ke rumah orang tuanya, ancaman kekerasan meningkat tajam — mengonfirmasi pola bahwa fase upaya keluar dari kontrol koersif justru menjadi titik risiko tertinggi, bukan periode "aman" seperti yang sering diasumsikan.</w:t>
      </w:r>
    </w:p>
    <w:p>
      <w:pPr>
        <w:pStyle w:val="Heading2"/>
        <w:spacing w:before="320" w:after="160"/>
        <w:rPr/>
      </w:pPr>
      <w:bookmarkStart w:id="8" w:name="__RefHeading___Toc581_3416633461"/>
      <w:bookmarkEnd w:id="8"/>
      <w:r>
        <w:rPr/>
        <w:t>1.4 Faktor Risiko dan Determinan Sosial</w:t>
      </w:r>
    </w:p>
    <w:p>
      <w:pPr>
        <w:pStyle w:val="Normal"/>
        <w:spacing w:lineRule="exact" w:line="276" w:before="0" w:after="160"/>
        <w:rPr/>
      </w:pPr>
      <w:r>
        <w:rPr>
          <w:rFonts w:eastAsia="Calibri" w:cs="Calibri"/>
          <w:i/>
          <w:iCs/>
          <w:color w:val="444444"/>
        </w:rPr>
        <w:t>Memahami mengapa KBG terjadi pada Pasien tertentu bukan untuk menyalahkan Pasien atau lingkungannya, melainkan untuk mengenali kapan kewaspadaan klinis perlu ditingkatkan.</w:t>
      </w:r>
    </w:p>
    <w:p>
      <w:pPr>
        <w:pStyle w:val="Normal"/>
        <w:spacing w:lineRule="exact" w:line="276" w:before="0" w:after="160"/>
        <w:rPr/>
      </w:pPr>
      <w:r>
        <w:rPr>
          <w:rFonts w:eastAsia="Calibri" w:cs="Calibri"/>
        </w:rPr>
        <w:t>Konsisten dengan kerangka determinan sosial kesehatan reproduksi yang telah dibahas pada buku MS-1 dalam seri ini, KBG tidak terjadi secara acak. Faktor risiko pada tingkat individu (riwayat kekerasan pada masa kanak, disabilitas, kehamilan usia remaja), tingkat relasi (disparitas usia/kekuasaan besar antarpasangan, poligami tanpa persetujuan setara), tingkat komunitas (norma yang menormalisasi kekerasan domestik, isolasi geografis dari layanan), hingga tingkat struktural (kemiskinan, ketimpangan gender dalam akses pendidikan dan ekonomi, lemahnya penegakan hukum) saling berinteraksi membentuk kerentanan berlapis.</w:t>
      </w:r>
    </w:p>
    <w:p>
      <w:pPr>
        <w:pStyle w:val="Normal"/>
        <w:pBdr>
          <w:left w:val="single" w:sz="24" w:space="8" w:color="2C3A64"/>
        </w:pBdr>
        <w:shd w:val="clear" w:fill="EAEDF4"/>
        <w:spacing w:before="0" w:after="60"/>
        <w:ind w:left="200"/>
        <w:rPr/>
      </w:pPr>
      <w:r>
        <w:rPr>
          <w:rFonts w:eastAsia="Calibri" w:cs="Calibri"/>
          <w:b/>
          <w:bCs/>
          <w:color w:val="2C3A64"/>
          <w:sz w:val="20"/>
          <w:szCs w:val="20"/>
        </w:rPr>
        <w:t>CATATAN KLINIS</w:t>
      </w:r>
    </w:p>
    <w:p>
      <w:pPr>
        <w:pStyle w:val="Normal"/>
        <w:pBdr>
          <w:left w:val="single" w:sz="24" w:space="8" w:color="2C3A64"/>
        </w:pBdr>
        <w:shd w:val="clear" w:fill="EAEDF4"/>
        <w:spacing w:lineRule="exact" w:line="276" w:before="0" w:after="200"/>
        <w:ind w:left="200"/>
        <w:rPr/>
      </w:pPr>
      <w:r>
        <w:rPr>
          <w:rFonts w:eastAsia="Calibri" w:cs="Calibri"/>
        </w:rPr>
        <w:t>Kehamilan itu sendiri adalah periode risiko tinggi untuk onset atau eskalasi KDRT. Subspesialis Obginsos perlu memahami ini bukan sebagai anekdot, melainkan sebagai dasar epidemiologis mengapa skrining rutin pada setiap kontak antenatal — bukan hanya pada kontak pertama — menjadi wajib (lihat Bab 2).</w:t>
      </w:r>
    </w:p>
    <w:p>
      <w:pPr>
        <w:pStyle w:val="Normal"/>
        <w:pBdr>
          <w:left w:val="single" w:sz="24" w:space="8" w:color="2E6F6E"/>
        </w:pBdr>
        <w:shd w:val="clear" w:fill="E6F0EF"/>
        <w:spacing w:before="0" w:after="60"/>
        <w:ind w:left="200"/>
        <w:rPr/>
      </w:pPr>
      <w:r>
        <w:rPr>
          <w:rFonts w:eastAsia="Calibri" w:cs="Calibri"/>
          <w:b/>
          <w:bCs/>
          <w:color w:val="2E6F6E"/>
          <w:sz w:val="20"/>
          <w:szCs w:val="20"/>
        </w:rPr>
        <w:t>ILUSTRASI PENERAPAN</w:t>
      </w:r>
    </w:p>
    <w:p>
      <w:pPr>
        <w:pStyle w:val="Normal"/>
        <w:pBdr>
          <w:left w:val="single" w:sz="24" w:space="8" w:color="2E6F6E"/>
        </w:pBdr>
        <w:shd w:val="clear" w:fill="E6F0EF"/>
        <w:spacing w:lineRule="exact" w:line="276" w:before="0" w:after="200"/>
        <w:ind w:left="200"/>
        <w:rPr/>
      </w:pPr>
      <w:r>
        <w:rPr>
          <w:rFonts w:eastAsia="Calibri" w:cs="Calibri"/>
        </w:rPr>
        <w:t>Seorang bidan desa di wilayah dengan akses jalan sulit menyadari bahwa Pasien-Pasien dari dusun terisolir cenderung lebih jarang mengungkapkan kekerasan dibandingkan Pasien dari dusun yang lebih dekat pusat layanan — bukan karena kekerasan lebih jarang terjadi, melainkan karena isolasi geografis memperkuat isolasi sosial yang juga menjadi instrumen kontrol pelaku.</w:t>
      </w:r>
    </w:p>
    <w:p>
      <w:pPr>
        <w:pStyle w:val="Heading2"/>
        <w:spacing w:before="320" w:after="160"/>
        <w:rPr/>
      </w:pPr>
      <w:bookmarkStart w:id="9" w:name="__RefHeading___Toc583_3416633461"/>
      <w:bookmarkEnd w:id="9"/>
      <w:r>
        <w:rPr/>
        <w:t>1.5 Dampak terhadap Kesehatan Reproduksi</w:t>
      </w:r>
    </w:p>
    <w:p>
      <w:pPr>
        <w:pStyle w:val="Normal"/>
        <w:spacing w:lineRule="exact" w:line="276" w:before="0" w:after="160"/>
        <w:rPr/>
      </w:pPr>
      <w:r>
        <w:rPr>
          <w:rFonts w:eastAsia="Calibri" w:cs="Calibri"/>
          <w:i/>
          <w:iCs/>
          <w:color w:val="444444"/>
        </w:rPr>
        <w:t>Data agregat tentang dampak KBG penting bukan sebagai statistik abstrak, melainkan sebagai alasan mengapa setiap Subspesialis Obginsos perlu menganggap deteksi KBG sebagai bagian rutin praktik, sama seriusnya dengan skrining preeklampsia atau diabetes gestasional.</w:t>
      </w:r>
    </w:p>
    <w:p>
      <w:pPr>
        <w:pStyle w:val="Normal"/>
        <w:spacing w:lineRule="exact" w:line="276" w:before="0" w:after="160"/>
        <w:rPr/>
      </w:pPr>
      <w:r>
        <w:rPr>
          <w:rFonts w:eastAsia="Calibri" w:cs="Calibri"/>
        </w:rPr>
        <w:t>Dampak KBG terhadap kesehatan reproduksi bersifat langsung dan tidak langsung. Dampak langsung meliputi cedera fisik pada organ reproduksi, kehamilan akibat perkosaan, komplikasi obstetri akibat trauma abdomen, dan penularan infeksi menular seksual termasuk HIV. Dampak tidak langsung — yang secara agregat justru menyumbang beban penyakit lebih besar — meliputi keterlambatan mencari perawatan antenatal akibat kontrol pelaku, gangguan kesehatan mental perinatal (dibahas lebih rinci pada buku MS-3 dalam seri ini), perilaku berisiko kesehatan (merokok, penyalahgunaan zat) sebagai mekanisme koping, dan gangguan pada kelekatan ibu-anak yang berdampak jangka panjang pada tumbuh kembang anak.</w:t>
      </w:r>
    </w:p>
    <w:p>
      <w:pPr>
        <w:pStyle w:val="Normal"/>
        <w:pBdr>
          <w:left w:val="single" w:sz="24" w:space="8" w:color="2E6F6E"/>
        </w:pBdr>
        <w:shd w:val="clear" w:fill="E6F0EF"/>
        <w:spacing w:before="0" w:after="60"/>
        <w:ind w:left="200"/>
        <w:rPr/>
      </w:pPr>
      <w:r>
        <w:rPr>
          <w:rFonts w:eastAsia="Calibri" w:cs="Calibri"/>
          <w:b/>
          <w:bCs/>
          <w:color w:val="2E6F6E"/>
          <w:sz w:val="20"/>
          <w:szCs w:val="20"/>
        </w:rPr>
        <w:t>ILUSTRASI PENERAPAN</w:t>
      </w:r>
    </w:p>
    <w:p>
      <w:pPr>
        <w:pStyle w:val="Normal"/>
        <w:pBdr>
          <w:left w:val="single" w:sz="24" w:space="8" w:color="2E6F6E"/>
        </w:pBdr>
        <w:shd w:val="clear" w:fill="E6F0EF"/>
        <w:spacing w:lineRule="exact" w:line="276" w:before="0" w:after="200"/>
        <w:ind w:left="200"/>
        <w:rPr/>
      </w:pPr>
      <w:r>
        <w:rPr>
          <w:rFonts w:eastAsia="Calibri" w:cs="Calibri"/>
        </w:rPr>
        <w:t>Seorang Pasien pascasalin menunjukkan tanda-tanda kelekatan yang terganggu dengan bayinya — enggan menggendong, tampak datar secara emosional. Penelusuran lebih lanjut mengungkap bahwa kehamilan tersebut adalah hasil pemaksaan pasangan yang menolak penggunaan kontrasepsi. Dampak tidak langsung terhadap kelekatan ibu-anak ini tidak akan tertangkap tanpa kesadaran bahwa gangguan kelekatan bisa menjadi jejak KBG yang tidak terungkap.</w:t>
      </w:r>
    </w:p>
    <w:p>
      <w:pPr>
        <w:pStyle w:val="Heading2"/>
        <w:spacing w:before="320" w:after="160"/>
        <w:rPr/>
      </w:pPr>
      <w:bookmarkStart w:id="10" w:name="__RefHeading___Toc585_3416633461"/>
      <w:bookmarkEnd w:id="10"/>
      <w:r>
        <w:rPr/>
        <w:t>1.6 Kedudukan Bab Ini dalam Alur Buku</w:t>
      </w:r>
    </w:p>
    <w:p>
      <w:pPr>
        <w:pStyle w:val="Normal"/>
        <w:spacing w:lineRule="exact" w:line="276" w:before="0" w:after="160"/>
        <w:rPr/>
      </w:pPr>
      <w:r>
        <w:rPr>
          <w:rFonts w:eastAsia="Calibri" w:cs="Calibri"/>
        </w:rPr>
        <w:t>Pemahaman spektrum KBG pada bab ini menjadi fondasi bagi seluruh bab selanjutnya: Bab 2 menerjemahkan pemahaman ini menjadi instrumen skrining praktis; Bab 3 membangun pendekatan komunikasi yang sesuai dengan dinamika kontrol koersif dan trauma; Bab 4 menjelaskan kapan dan bagaimana berkolaborasi dengan Unit Pelayanan Perempuan dan Anak (PPA) serta aparat penegak hukum; Bab 5 mengatur batasan dan prosedur dokumentasi forensik; dan Bab 6 menutup dengan pendampingan psikososial jangka panjang setelah krisis akut terlewati.</w:t>
      </w:r>
    </w:p>
    <w:p>
      <w:pPr>
        <w:pStyle w:val="Heading3"/>
        <w:spacing w:before="320" w:after="160"/>
        <w:rPr/>
      </w:pPr>
      <w:bookmarkStart w:id="11" w:name="__RefHeading___Toc587_3416633461"/>
      <w:bookmarkEnd w:id="11"/>
      <w:r>
        <w:rPr/>
        <w:t>Ringkasan Poin Kunci</w:t>
      </w:r>
    </w:p>
    <w:p>
      <w:pPr>
        <w:pStyle w:val="Normal"/>
        <w:spacing w:lineRule="exact" w:line="276" w:before="0" w:after="100"/>
        <w:ind w:hanging="260" w:left="400"/>
        <w:rPr/>
      </w:pPr>
      <w:r>
        <w:rPr>
          <w:rFonts w:eastAsia="Calibri" w:cs="Calibri"/>
        </w:rPr>
        <w:t xml:space="preserve">• </w:t>
      </w:r>
      <w:r>
        <w:rPr>
          <w:rFonts w:eastAsia="Calibri" w:cs="Calibri"/>
        </w:rPr>
        <w:t>KBG mencakup tiga domain utama yang saling beririsan: KDRT, kekerasan seksual, dan eksploitasi.</w:t>
      </w:r>
    </w:p>
    <w:p>
      <w:pPr>
        <w:pStyle w:val="Normal"/>
        <w:spacing w:lineRule="exact" w:line="276" w:before="0" w:after="100"/>
        <w:ind w:hanging="260" w:left="400"/>
        <w:rPr/>
      </w:pPr>
      <w:r>
        <w:rPr>
          <w:rFonts w:eastAsia="Calibri" w:cs="Calibri"/>
        </w:rPr>
        <w:t xml:space="preserve">• </w:t>
      </w:r>
      <w:r>
        <w:rPr>
          <w:rFonts w:eastAsia="Calibri" w:cs="Calibri"/>
        </w:rPr>
        <w:t>Kerangka kontrol koersif lebih akurat menjelaskan dinamika KBG dibandingkan model insiden kekerasan fisik tunggal, dan penting untuk memahami mengapa skrining berbasis "kekerasan fisik saja" tidak memadai.</w:t>
      </w:r>
    </w:p>
    <w:p>
      <w:pPr>
        <w:pStyle w:val="Normal"/>
        <w:spacing w:lineRule="exact" w:line="276" w:before="0" w:after="100"/>
        <w:ind w:hanging="260" w:left="400"/>
        <w:rPr/>
      </w:pPr>
      <w:r>
        <w:rPr>
          <w:rFonts w:eastAsia="Calibri" w:cs="Calibri"/>
        </w:rPr>
        <w:t xml:space="preserve">• </w:t>
      </w:r>
      <w:r>
        <w:rPr>
          <w:rFonts w:eastAsia="Calibri" w:cs="Calibri"/>
        </w:rPr>
        <w:t>Kehamilan adalah periode risiko tinggi untuk onset/eskalasi KDRT, menjadikan skrining rutin pada setiap kontak layanan — bukan hanya kontak pertama — sebagai keharusan klinis.</w:t>
      </w:r>
    </w:p>
    <w:p>
      <w:pPr>
        <w:pStyle w:val="Normal"/>
        <w:spacing w:lineRule="exact" w:line="276" w:before="0" w:after="100"/>
        <w:ind w:hanging="260" w:left="400"/>
        <w:rPr/>
      </w:pPr>
      <w:r>
        <w:rPr>
          <w:rFonts w:eastAsia="Calibri" w:cs="Calibri"/>
        </w:rPr>
        <w:t xml:space="preserve">• </w:t>
      </w:r>
      <w:r>
        <w:rPr>
          <w:rFonts w:eastAsia="Calibri" w:cs="Calibri"/>
        </w:rPr>
        <w:t>Dampak KBG terhadap kesehatan reproduksi bersifat langsung (cedera, kehamilan akibat perkosaan, IMS) maupun tidak langsung (keterlambatan akses layanan, gangguan kesehatan jiwa perinatal, perilaku berisiko).</w:t>
      </w:r>
    </w:p>
    <w:p>
      <w:pPr>
        <w:pStyle w:val="Heading3"/>
        <w:spacing w:before="320" w:after="160"/>
        <w:rPr/>
      </w:pPr>
      <w:bookmarkStart w:id="12" w:name="__RefHeading___Toc589_3416633461"/>
      <w:bookmarkEnd w:id="12"/>
      <w:r>
        <w:rPr/>
        <w:t>Vignette</w:t>
      </w:r>
    </w:p>
    <w:p>
      <w:pPr>
        <w:pStyle w:val="Normal"/>
        <w:spacing w:lineRule="exact" w:line="276" w:before="0" w:after="160"/>
        <w:rPr/>
      </w:pPr>
      <w:r>
        <w:rPr>
          <w:rFonts w:eastAsia="Calibri" w:cs="Calibri"/>
        </w:rPr>
        <w:t>Ny. R, 24 tahun, G2P1A0 usia kehamilan 28 minggu, datang untuk kontrol antenatal rutin didampingi suaminya yang selalu ikut masuk ruang periksa dan menjawab pertanyaan atas nama istrinya. Riwayat kehamilan pertama menunjukkan dua kali kunjungan antenatal terlewat dan berat badan lahir rendah tanpa penjelasan medis yang jelas. Tidak ada memar atau cedera fisik yang tampak. Kasus ini mengilustrasikan pola kontrol koersif (kehadiran konstan pasangan sebagai bentuk isolasi dan pengawasan) yang tidak akan terdeteksi tanpa kesempatan anamnesis privat — sebuah prinsip yang akan dibahas rinci pada Bab 2 dan Bab 3.</w:t>
      </w:r>
    </w:p>
    <w:p>
      <w:pPr>
        <w:pStyle w:val="Heading3"/>
        <w:spacing w:before="320" w:after="160"/>
        <w:rPr/>
      </w:pPr>
      <w:bookmarkStart w:id="13" w:name="__RefHeading___Toc591_3416633461"/>
      <w:bookmarkEnd w:id="13"/>
      <w:r>
        <w:rPr/>
        <w:t>Pertanyaan Refleksi</w:t>
      </w:r>
    </w:p>
    <w:p>
      <w:pPr>
        <w:pStyle w:val="Normal"/>
        <w:spacing w:lineRule="exact" w:line="276" w:before="0" w:after="100"/>
        <w:ind w:hanging="260" w:left="400"/>
        <w:rPr/>
      </w:pPr>
      <w:r>
        <w:rPr>
          <w:rFonts w:eastAsia="Calibri" w:cs="Calibri"/>
        </w:rPr>
        <w:t>1. Mengapa model kontrol koersif memberikan kerangka yang lebih relevan secara klinis dibandingkan model "insiden kekerasan fisik tunggal" untuk memahami KBG dalam praktik Obginsos?</w:t>
      </w:r>
    </w:p>
    <w:p>
      <w:pPr>
        <w:pStyle w:val="Normal"/>
        <w:spacing w:lineRule="exact" w:line="276" w:before="0" w:after="100"/>
        <w:ind w:hanging="260" w:left="400"/>
        <w:rPr/>
      </w:pPr>
      <w:r>
        <w:rPr>
          <w:rFonts w:eastAsia="Calibri" w:cs="Calibri"/>
        </w:rPr>
        <w:t>2. Identifikasi tiga titik kontak layanan kesehatan reproduksi di wilayah kerja Anda yang berpotensi menjadi titik deteksi dini KBG, dan jelaskan hambatan spesifik yang mungkin dihadapi pada masing-masing titik tersebut.</w:t>
      </w:r>
    </w:p>
    <w:p>
      <w:pPr>
        <w:pStyle w:val="Normal"/>
        <w:rPr/>
      </w:pPr>
      <w:r>
        <w:rPr/>
      </w:r>
      <w:r>
        <w:br w:type="page"/>
      </w:r>
    </w:p>
    <w:p>
      <w:pPr>
        <w:pStyle w:val="Heading1"/>
        <w:spacing w:before="0" w:after="160"/>
        <w:rPr/>
      </w:pPr>
      <w:bookmarkStart w:id="14" w:name="__RefHeading___Toc593_3416633461"/>
      <w:bookmarkEnd w:id="14"/>
      <w:r>
        <w:rPr/>
        <w:t>Bab 2 — Deteksi Dini dan Skrining Kekerasan dalam Layanan Kesehatan</w:t>
      </w:r>
    </w:p>
    <w:p>
      <w:pPr>
        <w:pStyle w:val="Heading2"/>
        <w:spacing w:before="320" w:after="160"/>
        <w:rPr/>
      </w:pPr>
      <w:bookmarkStart w:id="15" w:name="__RefHeading___Toc595_3416633461"/>
      <w:bookmarkEnd w:id="15"/>
      <w:r>
        <w:rPr/>
        <w:t>2.1 Prinsip Umum Skrining Kekerasan Berbasis Gender</w:t>
      </w:r>
    </w:p>
    <w:p>
      <w:pPr>
        <w:pStyle w:val="Normal"/>
        <w:spacing w:lineRule="exact" w:line="276" w:before="0" w:after="160"/>
        <w:rPr/>
      </w:pPr>
      <w:r>
        <w:rPr>
          <w:rFonts w:eastAsia="Calibri" w:cs="Calibri"/>
          <w:i/>
          <w:iCs/>
          <w:color w:val="444444"/>
        </w:rPr>
        <w:t>Setiap Pasien yang duduk di depan Anda berpotensi menjadi penyintas yang belum pernah bercerita kepada siapa pun. Jika Anda menunggu tanda klinis yang "meyakinkan" sebelum bertanya, kemungkinan besar Anda tidak akan pernah bertanya sama sekali.</w:t>
      </w:r>
    </w:p>
    <w:p>
      <w:pPr>
        <w:pStyle w:val="Normal"/>
        <w:spacing w:lineRule="exact" w:line="276" w:before="0" w:after="160"/>
        <w:rPr/>
      </w:pPr>
      <w:r>
        <w:rPr>
          <w:rFonts w:eastAsia="Calibri" w:cs="Calibri"/>
        </w:rPr>
        <w:t>Deteksi dini KBG bergantung pada skrining yang sistematis, bukan pada kewaspadaan klinis insidental. Bukti epidemiologis konsisten menunjukkan bahwa penyintas jarang mengungkapkan pengalaman kekerasan secara sukarela tanpa ditanya secara langsung, terstruktur, dan dalam kondisi yang aman. Sebaliknya, penanya yang menunggu "tanda klinis klasik" (memar, luka) akan melewatkan mayoritas kasus, karena — sebagaimana dibahas pada Bab 1 — banyak bentuk KBG, khususnya kontrol koersif dan kekerasan psikologis, tidak meninggalkan jejak fisik.</w:t>
      </w:r>
    </w:p>
    <w:p>
      <w:pPr>
        <w:pStyle w:val="Normal"/>
        <w:spacing w:lineRule="exact" w:line="276" w:before="0" w:after="160"/>
        <w:rPr/>
      </w:pPr>
      <w:r>
        <w:rPr>
          <w:rFonts w:eastAsia="Calibri" w:cs="Calibri"/>
        </w:rPr>
        <w:t>Skrining KBG dalam praktik Obginsos beroperasi pada dua tingkat layanan yang memiliki karakteristik berbeda: skrining di Rumah Sakit yang telah distandarkan melalui Formulir Skrining Risiko Biopsikososial dan KDRT (F1) sebagaimana diatur pada Dokumen 2 (SPO Pelayanan Obginsos) BAB II Langkah 1, dan skrining di layanan tingkat masyarakat (Puskesmas, Posyandu, layanan konseling komunitas) yang menjadi fokus operasional buku ini. Bab ini mengadaptasi prinsip skrining tersebut ke ranah Klaster Masyarakat, dengan menekankan bahwa konsistensi instrumen dan prinsip antar-tingkat layanan adalah kunci keberhasilan rujukan berjenjang.</w:t>
      </w:r>
    </w:p>
    <w:p>
      <w:pPr>
        <w:pStyle w:val="Normal"/>
        <w:pBdr>
          <w:left w:val="single" w:sz="24" w:space="8" w:color="2E6F6E"/>
        </w:pBdr>
        <w:shd w:val="clear" w:fill="E6F0EF"/>
        <w:spacing w:before="0" w:after="60"/>
        <w:ind w:left="200"/>
        <w:rPr/>
      </w:pPr>
      <w:r>
        <w:rPr>
          <w:rFonts w:eastAsia="Calibri" w:cs="Calibri"/>
          <w:b/>
          <w:bCs/>
          <w:color w:val="2E6F6E"/>
          <w:sz w:val="20"/>
          <w:szCs w:val="20"/>
        </w:rPr>
        <w:t>ILUSTRASI PENERAPAN</w:t>
      </w:r>
    </w:p>
    <w:p>
      <w:pPr>
        <w:pStyle w:val="Normal"/>
        <w:pBdr>
          <w:left w:val="single" w:sz="24" w:space="8" w:color="2E6F6E"/>
        </w:pBdr>
        <w:shd w:val="clear" w:fill="E6F0EF"/>
        <w:spacing w:lineRule="exact" w:line="276" w:before="0" w:after="200"/>
        <w:ind w:left="200"/>
        <w:rPr/>
      </w:pPr>
      <w:r>
        <w:rPr>
          <w:rFonts w:eastAsia="Calibri" w:cs="Calibri"/>
        </w:rPr>
        <w:t>Sebuah Puskesmas mengadopsi kebijakan "tanya semua, bukan tanya yang dicurigai." Dalam enam bulan pertama, jumlah kasus KBG yang terdeteksi meningkat tiga kali lipat dibandingkan tahun sebelumnya — bukan karena kekerasan tiba-tiba meningkat, melainkan karena sebelumnya skrining hanya dilakukan pada Pasien yang "terlihat mencurigakan," sehingga mayoritas kasus tanpa tanda fisik luput selama bertahun-tahun.</w:t>
      </w:r>
    </w:p>
    <w:p>
      <w:pPr>
        <w:pStyle w:val="Heading2"/>
        <w:spacing w:before="320" w:after="160"/>
        <w:rPr/>
      </w:pPr>
      <w:bookmarkStart w:id="16" w:name="__RefHeading___Toc597_3416633461"/>
      <w:bookmarkEnd w:id="16"/>
      <w:r>
        <w:rPr/>
        <w:t>2.2 Kapan Skrining Dilakukan</w:t>
      </w:r>
    </w:p>
    <w:p>
      <w:pPr>
        <w:pStyle w:val="Normal"/>
        <w:spacing w:lineRule="exact" w:line="276" w:before="0" w:after="160"/>
        <w:rPr/>
      </w:pPr>
      <w:r>
        <w:rPr>
          <w:rFonts w:eastAsia="Calibri" w:cs="Calibri"/>
          <w:i/>
          <w:iCs/>
          <w:color w:val="444444"/>
        </w:rPr>
        <w:t>Godaan terbesar bagi tenaga kesehatan yang sibuk adalah menganggap satu kali skrining "sudah cukup." Namun KBG bukan status statis — ia bisa muncul atau memburuk kapan saja sepanjang masa kehamilan dan sesudahnya.</w:t>
      </w:r>
    </w:p>
    <w:p>
      <w:pPr>
        <w:pStyle w:val="Normal"/>
        <w:spacing w:lineRule="exact" w:line="276" w:before="0" w:after="160"/>
        <w:rPr/>
      </w:pPr>
      <w:r>
        <w:rPr>
          <w:rFonts w:eastAsia="Calibri" w:cs="Calibri"/>
        </w:rPr>
        <w:t>Prinsip skrining rutin (*routine universal screening*) merekomendasikan penanyaan pada setiap Pasien perempuan usia reproduktif pada setiap kontak layanan kesehatan reproduksi — bukan hanya pada kontak pertama, dan bukan hanya pada Pasien yang menunjukkan "tanda kecurigaan". Pendekatan ini didasarkan pada pertimbangan bahwa:</w:t>
      </w:r>
    </w:p>
    <w:p>
      <w:pPr>
        <w:pStyle w:val="Normal"/>
        <w:spacing w:lineRule="exact" w:line="276" w:before="0" w:after="100"/>
        <w:ind w:hanging="260" w:left="400"/>
        <w:rPr/>
      </w:pPr>
      <w:r>
        <w:rPr>
          <w:rFonts w:eastAsia="Calibri" w:cs="Calibri"/>
        </w:rPr>
        <w:t>1. Skrining selektif berdasarkan kecurigaan klinis rentan bias petugas dan melewatkan penyintas yang tidak menunjukkan tanda eksternal.</w:t>
      </w:r>
    </w:p>
    <w:p>
      <w:pPr>
        <w:pStyle w:val="Normal"/>
        <w:spacing w:lineRule="exact" w:line="276" w:before="0" w:after="100"/>
        <w:ind w:hanging="260" w:left="400"/>
        <w:rPr/>
      </w:pPr>
      <w:r>
        <w:rPr>
          <w:rFonts w:eastAsia="Calibri" w:cs="Calibri"/>
        </w:rPr>
        <w:t>2. Sifat KDRT yang siklikal dan progresif (lihat Bab 1) berarti hasil skrining negatif pada satu kontak tidak menjamin tetap negatif pada kontak berikutnya — terutama selama kehamilan.</w:t>
      </w:r>
    </w:p>
    <w:p>
      <w:pPr>
        <w:pStyle w:val="Normal"/>
        <w:spacing w:lineRule="exact" w:line="276" w:before="0" w:after="100"/>
        <w:ind w:hanging="260" w:left="400"/>
        <w:rPr/>
      </w:pPr>
      <w:r>
        <w:rPr>
          <w:rFonts w:eastAsia="Calibri" w:cs="Calibri"/>
        </w:rPr>
        <w:t>3. Skrining rutin, ketika dilakukan secara konsisten pada seluruh Pasien, mengurangi stigma karena tidak ada Pasien yang merasa "dipilih" untuk ditanya.</w:t>
      </w:r>
    </w:p>
    <w:p>
      <w:pPr>
        <w:pStyle w:val="Normal"/>
        <w:spacing w:lineRule="exact" w:line="276" w:before="0" w:after="160"/>
        <w:rPr/>
      </w:pPr>
      <w:r>
        <w:rPr>
          <w:rFonts w:eastAsia="Calibri" w:cs="Calibri"/>
        </w:rPr>
        <w:t>Titik kontak prioritas pada layanan berbasis masyarakat meliputi: kontak pertama pemeriksaan kehamilan di Puskesmas/Posyandu, setiap kunjungan antenatal trimester berbeda, kontak pelayanan keluarga berencana, kontak konseling remaja, serta kontak pascasalin/nifas — periode yang justru sering luput dari perhatian meskipun risiko kekerasan tetap tinggi.</w:t>
      </w:r>
    </w:p>
    <w:p>
      <w:pPr>
        <w:pStyle w:val="Normal"/>
        <w:pBdr>
          <w:left w:val="single" w:sz="24" w:space="8" w:color="2E6F6E"/>
        </w:pBdr>
        <w:shd w:val="clear" w:fill="E6F0EF"/>
        <w:spacing w:before="0" w:after="60"/>
        <w:ind w:left="200"/>
        <w:rPr/>
      </w:pPr>
      <w:r>
        <w:rPr>
          <w:rFonts w:eastAsia="Calibri" w:cs="Calibri"/>
          <w:b/>
          <w:bCs/>
          <w:color w:val="2E6F6E"/>
          <w:sz w:val="20"/>
          <w:szCs w:val="20"/>
        </w:rPr>
        <w:t>ILUSTRASI PENERAPAN</w:t>
      </w:r>
    </w:p>
    <w:p>
      <w:pPr>
        <w:pStyle w:val="Normal"/>
        <w:pBdr>
          <w:left w:val="single" w:sz="24" w:space="8" w:color="2E6F6E"/>
        </w:pBdr>
        <w:shd w:val="clear" w:fill="E6F0EF"/>
        <w:spacing w:lineRule="exact" w:line="276" w:before="0" w:after="200"/>
        <w:ind w:left="200"/>
        <w:rPr/>
      </w:pPr>
      <w:r>
        <w:rPr>
          <w:rFonts w:eastAsia="Calibri" w:cs="Calibri"/>
        </w:rPr>
        <w:t>Seorang Pasien memberikan jawaban skrining negatif pada trimester pertama. Pada trimester ketiga, ketika bidan kembali menanyakan pertanyaan skrining yang sama sesuai protokol rutin (bukan karena kecurigaan baru), Pasien akhirnya mengungkapkan bahwa kekerasan baru dimulai sebulan terakhir setelah suaminya kehilangan pekerjaan. Tanpa pengulangan skrining rutin, kasus ini tidak akan terdeteksi sampai persalinan.</w:t>
      </w:r>
    </w:p>
    <w:p>
      <w:pPr>
        <w:pStyle w:val="Heading2"/>
        <w:spacing w:before="320" w:after="160"/>
        <w:rPr/>
      </w:pPr>
      <w:bookmarkStart w:id="17" w:name="__RefHeading___Toc599_3416633461"/>
      <w:bookmarkEnd w:id="17"/>
      <w:r>
        <w:rPr/>
        <w:t>2.3 Instrumen dan Teknik Skrining</w:t>
      </w:r>
    </w:p>
    <w:p>
      <w:pPr>
        <w:pStyle w:val="Normal"/>
        <w:spacing w:lineRule="exact" w:line="276" w:before="0" w:after="160"/>
        <w:rPr/>
      </w:pPr>
      <w:r>
        <w:rPr>
          <w:rFonts w:eastAsia="Calibri" w:cs="Calibri"/>
          <w:i/>
          <w:iCs/>
          <w:color w:val="444444"/>
        </w:rPr>
        <w:t>Pertanyaan skrining yang tepat sekalipun akan gagal total bila diajukan pada momen dan cara yang salah. Bagian ini menuntun bagaimana menciptakan kondisi agar jawaban jujur benar-benar mungkin muncul.</w:t>
      </w:r>
    </w:p>
    <w:p>
      <w:pPr>
        <w:pStyle w:val="Heading3"/>
        <w:spacing w:before="320" w:after="160"/>
        <w:rPr/>
      </w:pPr>
      <w:bookmarkStart w:id="18" w:name="__RefHeading___Toc601_3416633461"/>
      <w:bookmarkEnd w:id="18"/>
      <w:r>
        <w:rPr/>
        <w:t>2.3.1 Prasyarat Lingkungan Skrining</w:t>
      </w:r>
    </w:p>
    <w:p>
      <w:pPr>
        <w:pStyle w:val="Normal"/>
        <w:spacing w:lineRule="exact" w:line="276" w:before="0" w:after="160"/>
        <w:rPr/>
      </w:pPr>
      <w:r>
        <w:rPr>
          <w:rFonts w:eastAsia="Calibri" w:cs="Calibri"/>
        </w:rPr>
        <w:t>Skrining tidak boleh dilakukan bila kondisi berikut belum terpenuhi:</w:t>
      </w:r>
    </w:p>
    <w:p>
      <w:pPr>
        <w:pStyle w:val="Normal"/>
        <w:spacing w:lineRule="exact" w:line="276" w:before="0" w:after="100"/>
        <w:ind w:hanging="260" w:left="400"/>
        <w:rPr/>
      </w:pPr>
      <w:r>
        <w:rPr>
          <w:rFonts w:eastAsia="Calibri" w:cs="Calibri"/>
        </w:rPr>
        <w:t xml:space="preserve">• </w:t>
      </w:r>
      <w:r>
        <w:rPr>
          <w:rFonts w:eastAsia="Calibri" w:cs="Calibri"/>
          <w:b/>
          <w:bCs/>
        </w:rPr>
        <w:t>Privasi mutlak.</w:t>
      </w:r>
      <w:r>
        <w:rPr>
          <w:rFonts w:eastAsia="Calibri" w:cs="Calibri"/>
        </w:rPr>
        <w:t xml:space="preserve"> Pasien harus diwawancarai sendirian, tanpa kehadiran pasangan, anggota keluarga, maupun pendamping lain — termasuk anak yang telah cukup usia untuk memahami percakapan. Kehadiran pihak lain, sekalipun tampak suportif, dapat menjadi bentuk kontrol koersif sebagaimana diilustrasikan pada vignette Bab 1, dan secara langsung mengurangi kemungkinan pengungkapan.</w:t>
      </w:r>
    </w:p>
    <w:p>
      <w:pPr>
        <w:pStyle w:val="Normal"/>
        <w:spacing w:lineRule="exact" w:line="276" w:before="0" w:after="100"/>
        <w:ind w:hanging="260" w:left="400"/>
        <w:rPr/>
      </w:pPr>
      <w:r>
        <w:rPr>
          <w:rFonts w:eastAsia="Calibri" w:cs="Calibri"/>
        </w:rPr>
        <w:t xml:space="preserve">• </w:t>
      </w:r>
      <w:r>
        <w:rPr>
          <w:rFonts w:eastAsia="Calibri" w:cs="Calibri"/>
          <w:b/>
          <w:bCs/>
        </w:rPr>
        <w:t>Kerangka waktu memadai.</w:t>
      </w:r>
      <w:r>
        <w:rPr>
          <w:rFonts w:eastAsia="Calibri" w:cs="Calibri"/>
        </w:rPr>
        <w:t xml:space="preserve"> Skrining terburu-buru pada sela-sela pemeriksaan fisik cenderung menghasilkan jawaban defensif.</w:t>
      </w:r>
    </w:p>
    <w:p>
      <w:pPr>
        <w:pStyle w:val="Normal"/>
        <w:spacing w:lineRule="exact" w:line="276" w:before="0" w:after="100"/>
        <w:ind w:hanging="260" w:left="400"/>
        <w:rPr/>
      </w:pPr>
      <w:r>
        <w:rPr>
          <w:rFonts w:eastAsia="Calibri" w:cs="Calibri"/>
        </w:rPr>
        <w:t xml:space="preserve">• </w:t>
      </w:r>
      <w:r>
        <w:rPr>
          <w:rFonts w:eastAsia="Calibri" w:cs="Calibri"/>
          <w:b/>
          <w:bCs/>
        </w:rPr>
        <w:t>Bahasa yang dapat diakses.</w:t>
      </w:r>
      <w:r>
        <w:rPr>
          <w:rFonts w:eastAsia="Calibri" w:cs="Calibri"/>
        </w:rPr>
        <w:t xml:space="preserve"> Pertanyaan disampaikan dalam bahasa/dialek yang dipahami penuh oleh Pasien, dengan mempertimbangkan tingkat literasi.</w:t>
      </w:r>
    </w:p>
    <w:p>
      <w:pPr>
        <w:pStyle w:val="Normal"/>
        <w:pBdr>
          <w:left w:val="single" w:sz="24" w:space="8" w:color="2E6F6E"/>
        </w:pBdr>
        <w:shd w:val="clear" w:fill="E6F0EF"/>
        <w:spacing w:before="0" w:after="60"/>
        <w:ind w:left="200"/>
        <w:rPr/>
      </w:pPr>
      <w:r>
        <w:rPr>
          <w:rFonts w:eastAsia="Calibri" w:cs="Calibri"/>
          <w:b/>
          <w:bCs/>
          <w:color w:val="2E6F6E"/>
          <w:sz w:val="20"/>
          <w:szCs w:val="20"/>
        </w:rPr>
        <w:t>ILUSTRASI PENERAPAN</w:t>
      </w:r>
    </w:p>
    <w:p>
      <w:pPr>
        <w:pStyle w:val="Normal"/>
        <w:pBdr>
          <w:left w:val="single" w:sz="24" w:space="8" w:color="2E6F6E"/>
        </w:pBdr>
        <w:shd w:val="clear" w:fill="E6F0EF"/>
        <w:spacing w:lineRule="exact" w:line="276" w:before="0" w:after="200"/>
        <w:ind w:left="200"/>
        <w:rPr/>
      </w:pPr>
      <w:r>
        <w:rPr>
          <w:rFonts w:eastAsia="Calibri" w:cs="Calibri"/>
        </w:rPr>
        <w:t>Seorang bidan di Puskesmas yang hanya memiliki satu ruang periksa terbuka mengakali keterbatasan ruang dengan mengajak Pasien "menimbang berat badan di ruang sebelah" secara rutin untuk seluruh Pasien — bukan hanya yang dicurigai — sehingga tercipta momen privat singkat tanpa menimbulkan kecurigaan pendamping.</w:t>
      </w:r>
    </w:p>
    <w:p>
      <w:pPr>
        <w:pStyle w:val="Heading3"/>
        <w:spacing w:before="320" w:after="160"/>
        <w:rPr/>
      </w:pPr>
      <w:bookmarkStart w:id="19" w:name="__RefHeading___Toc603_3416633461"/>
      <w:bookmarkEnd w:id="19"/>
      <w:r>
        <w:rPr/>
        <w:t>2.3.2 Struktur Pertanyaan</w:t>
      </w:r>
    </w:p>
    <w:p>
      <w:pPr>
        <w:pStyle w:val="Normal"/>
        <w:spacing w:lineRule="exact" w:line="276" w:before="0" w:after="160"/>
        <w:rPr/>
      </w:pPr>
      <w:r>
        <w:rPr>
          <w:rFonts w:eastAsia="Calibri" w:cs="Calibri"/>
        </w:rPr>
        <w:t>Pertanyaan skrining sebaiknya bergerak dari umum ke spesifik, menggunakan bahasa perilaku konkret alih-alih label ("kekerasan", "KDRT") yang berpotensi tidak dikenali Pasien sebagai deskripsi pengalamannya sendiri. Contoh struktur bertahap:</w:t>
      </w:r>
    </w:p>
    <w:p>
      <w:pPr>
        <w:pStyle w:val="Normal"/>
        <w:spacing w:lineRule="exact" w:line="276" w:before="0" w:after="100"/>
        <w:ind w:hanging="260" w:left="400"/>
        <w:rPr/>
      </w:pPr>
      <w:r>
        <w:rPr>
          <w:rFonts w:eastAsia="Calibri" w:cs="Calibri"/>
        </w:rPr>
        <w:t>1. Pertanyaan pembuka tentang relasi dan dukungan sosial secara umum.</w:t>
      </w:r>
    </w:p>
    <w:p>
      <w:pPr>
        <w:pStyle w:val="Normal"/>
        <w:spacing w:lineRule="exact" w:line="276" w:before="0" w:after="100"/>
        <w:ind w:hanging="260" w:left="400"/>
        <w:rPr/>
      </w:pPr>
      <w:r>
        <w:rPr>
          <w:rFonts w:eastAsia="Calibri" w:cs="Calibri"/>
        </w:rPr>
        <w:t>2. Pertanyaan perilaku spesifik mengenai kekerasan fisik ("apakah pernah dipukul, ditendang, didorong, atau disakiti secara fisik"), mengikuti format baku F1.</w:t>
      </w:r>
    </w:p>
    <w:p>
      <w:pPr>
        <w:pStyle w:val="Normal"/>
        <w:spacing w:lineRule="exact" w:line="276" w:before="0" w:after="100"/>
        <w:ind w:hanging="260" w:left="400"/>
        <w:rPr/>
      </w:pPr>
      <w:r>
        <w:rPr>
          <w:rFonts w:eastAsia="Calibri" w:cs="Calibri"/>
        </w:rPr>
        <w:t>3. Pertanyaan mengenai rasa aman ("apakah merasa takut terhadap pasangan/anggota keluarga di rumah") — pertanyaan ini penting karena menangkap dimensi kontrol koersif yang tidak selalu disertai kekerasan fisik.</w:t>
      </w:r>
    </w:p>
    <w:p>
      <w:pPr>
        <w:pStyle w:val="Normal"/>
        <w:spacing w:lineRule="exact" w:line="276" w:before="0" w:after="100"/>
        <w:ind w:hanging="260" w:left="400"/>
        <w:rPr/>
      </w:pPr>
      <w:r>
        <w:rPr>
          <w:rFonts w:eastAsia="Calibri" w:cs="Calibri"/>
        </w:rPr>
        <w:t>4. Pertanyaan mengenai kekerasan seksual, disampaikan secara eksplisit namun tidak menghakimi, termasuk klarifikasi bahwa status perkawinan tidak menghapus konsep persetujuan.</w:t>
      </w:r>
    </w:p>
    <w:p>
      <w:pPr>
        <w:pStyle w:val="Normal"/>
        <w:pBdr>
          <w:left w:val="single" w:sz="24" w:space="8" w:color="2C3A64"/>
        </w:pBdr>
        <w:shd w:val="clear" w:fill="EAEDF4"/>
        <w:spacing w:before="0" w:after="60"/>
        <w:ind w:left="200"/>
        <w:rPr/>
      </w:pPr>
      <w:r>
        <w:rPr>
          <w:rFonts w:eastAsia="Calibri" w:cs="Calibri"/>
          <w:b/>
          <w:bCs/>
          <w:color w:val="2C3A64"/>
          <w:sz w:val="20"/>
          <w:szCs w:val="20"/>
        </w:rPr>
        <w:t>CATATAN KLINIS</w:t>
      </w:r>
    </w:p>
    <w:p>
      <w:pPr>
        <w:pStyle w:val="Normal"/>
        <w:pBdr>
          <w:left w:val="single" w:sz="24" w:space="8" w:color="2C3A64"/>
        </w:pBdr>
        <w:shd w:val="clear" w:fill="EAEDF4"/>
        <w:spacing w:lineRule="exact" w:line="276" w:before="0" w:after="200"/>
        <w:ind w:left="200"/>
        <w:rPr/>
      </w:pPr>
      <w:r>
        <w:rPr>
          <w:rFonts w:eastAsia="Calibri" w:cs="Calibri"/>
        </w:rPr>
        <w:t>Pertanyaan skrining harus disampaikan sebagai bagian rutin dari anamnesis — misalnya didahului kalimat pembuka bahwa pertanyaan tersebut ditanyakan kepada seluruh Pasien, bukan karena kecurigaan spesifik terhadap Pasien yang bersangkutan. Framing ini menurunkan beban psikologis pengungkapan.</w:t>
      </w:r>
    </w:p>
    <w:p>
      <w:pPr>
        <w:pStyle w:val="Normal"/>
        <w:pBdr>
          <w:left w:val="single" w:sz="24" w:space="8" w:color="2E6F6E"/>
        </w:pBdr>
        <w:shd w:val="clear" w:fill="E6F0EF"/>
        <w:spacing w:before="0" w:after="60"/>
        <w:ind w:left="200"/>
        <w:rPr/>
      </w:pPr>
      <w:r>
        <w:rPr>
          <w:rFonts w:eastAsia="Calibri" w:cs="Calibri"/>
          <w:b/>
          <w:bCs/>
          <w:color w:val="2E6F6E"/>
          <w:sz w:val="20"/>
          <w:szCs w:val="20"/>
        </w:rPr>
        <w:t>ILUSTRASI PENERAPAN</w:t>
      </w:r>
    </w:p>
    <w:p>
      <w:pPr>
        <w:pStyle w:val="Normal"/>
        <w:pBdr>
          <w:left w:val="single" w:sz="24" w:space="8" w:color="2E6F6E"/>
        </w:pBdr>
        <w:shd w:val="clear" w:fill="E6F0EF"/>
        <w:spacing w:lineRule="exact" w:line="276" w:before="0" w:after="200"/>
        <w:ind w:left="200"/>
        <w:rPr/>
      </w:pPr>
      <w:r>
        <w:rPr>
          <w:rFonts w:eastAsia="Calibri" w:cs="Calibri"/>
        </w:rPr>
        <w:t>Alih-alih bertanya "Apakah Anda korban KDRT?" — istilah yang mungkin tidak dikenali Pasien sebagai deskripsi pengalamannya — bidan bertanya, "Apakah pasangan Anda pernah mendorong, memukul, atau membuat Anda takut secara fisik?" Pertanyaan berbasis perilaku konkret ini membuka pengungkapan yang tidak muncul saat menggunakan istilah "kekerasan" secara langsung.</w:t>
      </w:r>
    </w:p>
    <w:p>
      <w:pPr>
        <w:pStyle w:val="Heading2"/>
        <w:spacing w:before="320" w:after="160"/>
        <w:rPr/>
      </w:pPr>
      <w:bookmarkStart w:id="20" w:name="__RefHeading___Toc605_3416633461"/>
      <w:bookmarkEnd w:id="20"/>
      <w:r>
        <w:rPr/>
        <w:t>2.4 Menanggapi Hasil Skrining Positif</w:t>
      </w:r>
    </w:p>
    <w:p>
      <w:pPr>
        <w:pStyle w:val="Normal"/>
        <w:spacing w:lineRule="exact" w:line="276" w:before="0" w:after="160"/>
        <w:rPr/>
      </w:pPr>
      <w:r>
        <w:rPr>
          <w:rFonts w:eastAsia="Calibri" w:cs="Calibri"/>
          <w:i/>
          <w:iCs/>
          <w:color w:val="444444"/>
        </w:rPr>
        <w:t>Momen paling krusial dalam seluruh proses skrining bukanlah pertanyaannya, melainkan apa yang terjadi tepat setelah Pasien menjawab "ya." Respons yang keliru pada detik ini dapat menutup pintu yang baru saja terbuka.</w:t>
      </w:r>
    </w:p>
    <w:p>
      <w:pPr>
        <w:pStyle w:val="Normal"/>
        <w:spacing w:lineRule="exact" w:line="276" w:before="0" w:after="160"/>
        <w:rPr/>
      </w:pPr>
      <w:r>
        <w:rPr>
          <w:rFonts w:eastAsia="Calibri" w:cs="Calibri"/>
        </w:rPr>
        <w:t>Hasil skrining positif — sesuai kategori Formulir F1 — mewajibkan konsultasi lanjutan dengan Subspesialis Obginsos atau tenaga terlatih setara di tingkat layanan masyarakat. Respons segera terhadap pengungkapan meliputi:</w:t>
      </w:r>
    </w:p>
    <w:p>
      <w:pPr>
        <w:pStyle w:val="Normal"/>
        <w:spacing w:lineRule="exact" w:line="276" w:before="0" w:after="100"/>
        <w:ind w:hanging="260" w:left="400"/>
        <w:rPr/>
      </w:pPr>
      <w:r>
        <w:rPr>
          <w:rFonts w:eastAsia="Calibri" w:cs="Calibri"/>
        </w:rPr>
        <w:t xml:space="preserve">1. </w:t>
      </w:r>
      <w:r>
        <w:rPr>
          <w:rFonts w:eastAsia="Calibri" w:cs="Calibri"/>
          <w:b/>
          <w:bCs/>
        </w:rPr>
        <w:t>Validasi tanpa menghakimi.</w:t>
      </w:r>
      <w:r>
        <w:rPr>
          <w:rFonts w:eastAsia="Calibri" w:cs="Calibri"/>
        </w:rPr>
        <w:t xml:space="preserve"> Menyatakan bahwa Pasien tidak bersalah dan berhak atas keamanan, tanpa menyarankan tindakan spesifik yang mendikte keputusan Pasien (prinsip nondirektif akan diperdalam pada Bab 3).</w:t>
      </w:r>
    </w:p>
    <w:p>
      <w:pPr>
        <w:pStyle w:val="Normal"/>
        <w:spacing w:lineRule="exact" w:line="276" w:before="0" w:after="100"/>
        <w:ind w:hanging="260" w:left="400"/>
        <w:rPr/>
      </w:pPr>
      <w:r>
        <w:rPr>
          <w:rFonts w:eastAsia="Calibri" w:cs="Calibri"/>
        </w:rPr>
        <w:t xml:space="preserve">2. </w:t>
      </w:r>
      <w:r>
        <w:rPr>
          <w:rFonts w:eastAsia="Calibri" w:cs="Calibri"/>
          <w:b/>
          <w:bCs/>
        </w:rPr>
        <w:t>Penilaian risiko keselamatan segera</w:t>
      </w:r>
      <w:r>
        <w:rPr>
          <w:rFonts w:eastAsia="Calibri" w:cs="Calibri"/>
        </w:rPr>
        <w:t xml:space="preserve"> — termasuk penilaian risiko femisida menggunakan indikator seperti eskalasi frekuensi/keparahan kekerasan, ancaman menggunakan senjata, dan upaya Pasien sebelumnya untuk keluar dari relasi.</w:t>
      </w:r>
    </w:p>
    <w:p>
      <w:pPr>
        <w:pStyle w:val="Normal"/>
        <w:spacing w:lineRule="exact" w:line="276" w:before="0" w:after="100"/>
        <w:ind w:hanging="260" w:left="400"/>
        <w:rPr/>
      </w:pPr>
      <w:r>
        <w:rPr>
          <w:rFonts w:eastAsia="Calibri" w:cs="Calibri"/>
        </w:rPr>
        <w:t xml:space="preserve">3. </w:t>
      </w:r>
      <w:r>
        <w:rPr>
          <w:rFonts w:eastAsia="Calibri" w:cs="Calibri"/>
          <w:b/>
          <w:bCs/>
        </w:rPr>
        <w:t>Informasi tentang opsi yang tersedia</w:t>
      </w:r>
      <w:r>
        <w:rPr>
          <w:rFonts w:eastAsia="Calibri" w:cs="Calibri"/>
        </w:rPr>
        <w:t xml:space="preserve"> — layanan PPA, Rumah Aman, dan konseling — tanpa memaksakan pilihan tertentu (lihat Bab 4).</w:t>
      </w:r>
    </w:p>
    <w:p>
      <w:pPr>
        <w:pStyle w:val="Normal"/>
        <w:spacing w:lineRule="exact" w:line="276" w:before="0" w:after="100"/>
        <w:ind w:hanging="260" w:left="400"/>
        <w:rPr/>
      </w:pPr>
      <w:r>
        <w:rPr>
          <w:rFonts w:eastAsia="Calibri" w:cs="Calibri"/>
        </w:rPr>
        <w:t xml:space="preserve">4. </w:t>
      </w:r>
      <w:r>
        <w:rPr>
          <w:rFonts w:eastAsia="Calibri" w:cs="Calibri"/>
          <w:b/>
          <w:bCs/>
        </w:rPr>
        <w:t>Dokumentasi sesuai batasan yang akan dibahas pada Bab 5.</w:t>
      </w:r>
    </w:p>
    <w:p>
      <w:pPr>
        <w:pStyle w:val="Normal"/>
        <w:pBdr>
          <w:left w:val="single" w:sz="24" w:space="8" w:color="2E6F6E"/>
        </w:pBdr>
        <w:shd w:val="clear" w:fill="E6F0EF"/>
        <w:spacing w:before="0" w:after="60"/>
        <w:ind w:left="200"/>
        <w:rPr/>
      </w:pPr>
      <w:r>
        <w:rPr>
          <w:rFonts w:eastAsia="Calibri" w:cs="Calibri"/>
          <w:b/>
          <w:bCs/>
          <w:color w:val="2E6F6E"/>
          <w:sz w:val="20"/>
          <w:szCs w:val="20"/>
        </w:rPr>
        <w:t>ILUSTRASI PENERAPAN</w:t>
      </w:r>
    </w:p>
    <w:p>
      <w:pPr>
        <w:pStyle w:val="Normal"/>
        <w:pBdr>
          <w:left w:val="single" w:sz="24" w:space="8" w:color="2E6F6E"/>
        </w:pBdr>
        <w:shd w:val="clear" w:fill="E6F0EF"/>
        <w:spacing w:lineRule="exact" w:line="276" w:before="0" w:after="200"/>
        <w:ind w:left="200"/>
        <w:rPr/>
      </w:pPr>
      <w:r>
        <w:rPr>
          <w:rFonts w:eastAsia="Calibri" w:cs="Calibri"/>
        </w:rPr>
        <w:t>Ketika seorang Pasien akhirnya mengakui mengalami kekerasan, bidan menjawab tenang: "Terima kasih sudah memberi tahu saya. Ini bukan kesalahan Anda, dan Anda berhak merasa aman." Ia tidak langsung menyarankan Pasien melapor ke polisi atau meninggalkan suaminya, melainkan menanyakan apakah Pasien merasa aman untuk pulang hari itu — respons yang menempatkan penilaian risiko keselamatan sebagai prioritas pertama, bukan penyelesaian menyeluruh dalam satu pertemuan.</w:t>
      </w:r>
    </w:p>
    <w:p>
      <w:pPr>
        <w:pStyle w:val="Heading2"/>
        <w:spacing w:before="320" w:after="160"/>
        <w:rPr/>
      </w:pPr>
      <w:bookmarkStart w:id="21" w:name="__RefHeading___Toc607_3416633461"/>
      <w:bookmarkEnd w:id="21"/>
      <w:r>
        <w:rPr/>
        <w:t>2.5 Hambatan Skrining di Tingkat Masyarakat</w:t>
      </w:r>
    </w:p>
    <w:p>
      <w:pPr>
        <w:pStyle w:val="Normal"/>
        <w:spacing w:lineRule="exact" w:line="276" w:before="0" w:after="160"/>
        <w:rPr/>
      </w:pPr>
      <w:r>
        <w:rPr>
          <w:rFonts w:eastAsia="Calibri" w:cs="Calibri"/>
          <w:i/>
          <w:iCs/>
          <w:color w:val="444444"/>
        </w:rPr>
        <w:t>Prinsip skrining yang ideal akan terasa jauh dari kenyataan lapangan bila hambatan struktural berikut tidak diakui dan diatasi secara realistis.</w:t>
      </w:r>
    </w:p>
    <w:p>
      <w:pPr>
        <w:pStyle w:val="Normal"/>
        <w:spacing w:lineRule="exact" w:line="276" w:before="0" w:after="160"/>
        <w:rPr/>
      </w:pPr>
      <w:r>
        <w:rPr>
          <w:rFonts w:eastAsia="Calibri" w:cs="Calibri"/>
        </w:rPr>
        <w:t>Skrining di layanan berbasis masyarakat menghadapi tantangan struktural yang berbeda dari RS: keterbatasan ruang privat di Puskesmas/Posyandu, beban kerja kader dan bidan desa yang tinggi, norma sosial komunitas yang dapat membuat kader enggan "mencampuri urusan rumah tangga" tetangga, serta keterbatasan mekanisme rujukan lanjutan di wilayah 3T (tertinggal, terdepan, terluar). Strategi mitigasi mencakup pelatihan berkelanjutan kader dan bidan desa mengenai teknik skrining privat (misalnya memanfaatkan momen pemeriksaan fisik untuk memisahkan Pasien dari pendamping), penguatan jejaring rujukan lintas sektor (dibahas lebih lanjut pada buku MS-4 dalam seri ini), serta advokasi penyediaan ruang konsultasi privat minimal di setiap Puskesmas.</w:t>
      </w:r>
    </w:p>
    <w:p>
      <w:pPr>
        <w:pStyle w:val="Normal"/>
        <w:pBdr>
          <w:left w:val="single" w:sz="24" w:space="8" w:color="2E6F6E"/>
        </w:pBdr>
        <w:shd w:val="clear" w:fill="E6F0EF"/>
        <w:spacing w:before="0" w:after="60"/>
        <w:ind w:left="200"/>
        <w:rPr/>
      </w:pPr>
      <w:r>
        <w:rPr>
          <w:rFonts w:eastAsia="Calibri" w:cs="Calibri"/>
          <w:b/>
          <w:bCs/>
          <w:color w:val="2E6F6E"/>
          <w:sz w:val="20"/>
          <w:szCs w:val="20"/>
        </w:rPr>
        <w:t>ILUSTRASI PENERAPAN</w:t>
      </w:r>
    </w:p>
    <w:p>
      <w:pPr>
        <w:pStyle w:val="Normal"/>
        <w:pBdr>
          <w:left w:val="single" w:sz="24" w:space="8" w:color="2E6F6E"/>
        </w:pBdr>
        <w:shd w:val="clear" w:fill="E6F0EF"/>
        <w:spacing w:lineRule="exact" w:line="276" w:before="0" w:after="200"/>
        <w:ind w:left="200"/>
        <w:rPr/>
      </w:pPr>
      <w:r>
        <w:rPr>
          <w:rFonts w:eastAsia="Calibri" w:cs="Calibri"/>
        </w:rPr>
        <w:t>Seorang kader Posyandu enggan menanyakan skrining kepada tetangganya sendiri karena khawatir dianggap "ikut campur." Melalui pelatihan yang menekankan bahwa skrining dilakukan secara rutin untuk SEMUA Pasien — bukan atas inisiatif pribadi kader terhadap tetangga tertentu — kader tersebut akhirnya merasa memiliki legitimasi profesional untuk bertanya, terlepas dari relasi personalnya di luar tugas.</w:t>
      </w:r>
    </w:p>
    <w:p>
      <w:pPr>
        <w:pStyle w:val="Heading2"/>
        <w:spacing w:before="320" w:after="160"/>
        <w:rPr/>
      </w:pPr>
      <w:bookmarkStart w:id="22" w:name="__RefHeading___Toc609_3416633461"/>
      <w:bookmarkEnd w:id="22"/>
      <w:r>
        <w:rPr/>
        <w:t>2.6 Skrining pada Populasi Rentan Khusus</w:t>
      </w:r>
    </w:p>
    <w:p>
      <w:pPr>
        <w:pStyle w:val="Normal"/>
        <w:spacing w:lineRule="exact" w:line="276" w:before="0" w:after="160"/>
        <w:rPr/>
      </w:pPr>
      <w:r>
        <w:rPr>
          <w:rFonts w:eastAsia="Calibri" w:cs="Calibri"/>
          <w:i/>
          <w:iCs/>
          <w:color w:val="444444"/>
        </w:rPr>
        <w:t>Instrumen skrining standar dirancang untuk populasi umum — namun beberapa kelompok Pasien membutuhkan penyesuaian, atau berisiko sama sekali tidak terjangkau bila pendekatan generik dipaksakan begitu saja.</w:t>
      </w:r>
    </w:p>
    <w:p>
      <w:pPr>
        <w:pStyle w:val="Normal"/>
        <w:spacing w:lineRule="exact" w:line="276" w:before="0" w:after="160"/>
        <w:rPr/>
      </w:pPr>
      <w:r>
        <w:rPr>
          <w:rFonts w:eastAsia="Calibri" w:cs="Calibri"/>
        </w:rPr>
        <w:t>Populasi tertentu memerlukan adaptasi pendekatan skrining: penyandang disabilitas (memerlukan moda komunikasi alternatif dan kewaspadaan terhadap ketergantungan pada pengasuh yang berpotensi menjadi pelaku), remaja (memerlukan navigasi persetujuan dan kerahasiaan yang akan dibahas pada buku MS-5 dalam seri ini), serta pekerja migran dan kelompok etnis minoritas (hambatan bahasa dan keengganan melibatkan otoritas karena status dokumen kependudukan).</w:t>
      </w:r>
    </w:p>
    <w:p>
      <w:pPr>
        <w:pStyle w:val="Normal"/>
        <w:pBdr>
          <w:left w:val="single" w:sz="24" w:space="8" w:color="2E6F6E"/>
        </w:pBdr>
        <w:shd w:val="clear" w:fill="E6F0EF"/>
        <w:spacing w:before="0" w:after="60"/>
        <w:ind w:left="200"/>
        <w:rPr/>
      </w:pPr>
      <w:r>
        <w:rPr>
          <w:rFonts w:eastAsia="Calibri" w:cs="Calibri"/>
          <w:b/>
          <w:bCs/>
          <w:color w:val="2E6F6E"/>
          <w:sz w:val="20"/>
          <w:szCs w:val="20"/>
        </w:rPr>
        <w:t>ILUSTRASI PENERAPAN</w:t>
      </w:r>
    </w:p>
    <w:p>
      <w:pPr>
        <w:pStyle w:val="Normal"/>
        <w:pBdr>
          <w:left w:val="single" w:sz="24" w:space="8" w:color="2E6F6E"/>
        </w:pBdr>
        <w:shd w:val="clear" w:fill="E6F0EF"/>
        <w:spacing w:lineRule="exact" w:line="276" w:before="0" w:after="200"/>
        <w:ind w:left="200"/>
        <w:rPr/>
      </w:pPr>
      <w:r>
        <w:rPr>
          <w:rFonts w:eastAsia="Calibri" w:cs="Calibri"/>
        </w:rPr>
        <w:t>Seorang Pasien penyandang tunarungu selalu didampingi anaknya sebagai penerjemah bahasa isyarat — namun anaknya juga adalah anak dari pelaku kekerasan yang dicurigai. Petugas menyadari bahwa penerjemah dari pelaku bukanlah kondisi skrining yang valid, dan mengatur penerjemah bahasa isyarat independen dari layanan disabilitas setempat untuk kunjungan berikutnya.</w:t>
      </w:r>
    </w:p>
    <w:p>
      <w:pPr>
        <w:pStyle w:val="Heading3"/>
        <w:spacing w:before="320" w:after="160"/>
        <w:rPr/>
      </w:pPr>
      <w:bookmarkStart w:id="23" w:name="__RefHeading___Toc611_3416633461"/>
      <w:bookmarkEnd w:id="23"/>
      <w:r>
        <w:rPr/>
        <w:t>Ringkasan Poin Kunci</w:t>
      </w:r>
    </w:p>
    <w:p>
      <w:pPr>
        <w:pStyle w:val="Normal"/>
        <w:spacing w:lineRule="exact" w:line="276" w:before="0" w:after="100"/>
        <w:ind w:hanging="260" w:left="400"/>
        <w:rPr/>
      </w:pPr>
      <w:r>
        <w:rPr>
          <w:rFonts w:eastAsia="Calibri" w:cs="Calibri"/>
        </w:rPr>
        <w:t xml:space="preserve">• </w:t>
      </w:r>
      <w:r>
        <w:rPr>
          <w:rFonts w:eastAsia="Calibri" w:cs="Calibri"/>
        </w:rPr>
        <w:t>Skrining rutin universal pada setiap kontak layanan kesehatan reproduksi lebih efektif dibandingkan skrining berbasis kecurigaan klinis semata.</w:t>
      </w:r>
    </w:p>
    <w:p>
      <w:pPr>
        <w:pStyle w:val="Normal"/>
        <w:spacing w:lineRule="exact" w:line="276" w:before="0" w:after="100"/>
        <w:ind w:hanging="260" w:left="400"/>
        <w:rPr/>
      </w:pPr>
      <w:r>
        <w:rPr>
          <w:rFonts w:eastAsia="Calibri" w:cs="Calibri"/>
        </w:rPr>
        <w:t xml:space="preserve">• </w:t>
      </w:r>
      <w:r>
        <w:rPr>
          <w:rFonts w:eastAsia="Calibri" w:cs="Calibri"/>
        </w:rPr>
        <w:t>Prasyarat mutlak skrining yang valid adalah privasi penuh tanpa kehadiran pendamping.</w:t>
      </w:r>
    </w:p>
    <w:p>
      <w:pPr>
        <w:pStyle w:val="Normal"/>
        <w:spacing w:lineRule="exact" w:line="276" w:before="0" w:after="100"/>
        <w:ind w:hanging="260" w:left="400"/>
        <w:rPr/>
      </w:pPr>
      <w:r>
        <w:rPr>
          <w:rFonts w:eastAsia="Calibri" w:cs="Calibri"/>
        </w:rPr>
        <w:t xml:space="preserve">• </w:t>
      </w:r>
      <w:r>
        <w:rPr>
          <w:rFonts w:eastAsia="Calibri" w:cs="Calibri"/>
        </w:rPr>
        <w:t>Hasil skrining positif memerlukan validasi, penilaian risiko keselamatan segera, dan informasi opsi tanpa memaksakan pilihan tertentu.</w:t>
      </w:r>
    </w:p>
    <w:p>
      <w:pPr>
        <w:pStyle w:val="Normal"/>
        <w:spacing w:lineRule="exact" w:line="276" w:before="0" w:after="100"/>
        <w:ind w:hanging="260" w:left="400"/>
        <w:rPr/>
      </w:pPr>
      <w:r>
        <w:rPr>
          <w:rFonts w:eastAsia="Calibri" w:cs="Calibri"/>
        </w:rPr>
        <w:t xml:space="preserve">• </w:t>
      </w:r>
      <w:r>
        <w:rPr>
          <w:rFonts w:eastAsia="Calibri" w:cs="Calibri"/>
        </w:rPr>
        <w:t>Layanan berbasis masyarakat menghadapi hambatan struktural spesifik yang memerlukan strategi mitigasi berbeda dari RS.</w:t>
      </w:r>
    </w:p>
    <w:p>
      <w:pPr>
        <w:pStyle w:val="Heading3"/>
        <w:spacing w:before="320" w:after="160"/>
        <w:rPr/>
      </w:pPr>
      <w:bookmarkStart w:id="24" w:name="__RefHeading___Toc613_3416633461"/>
      <w:bookmarkEnd w:id="24"/>
      <w:r>
        <w:rPr/>
        <w:t>Vignette</w:t>
      </w:r>
    </w:p>
    <w:p>
      <w:pPr>
        <w:pStyle w:val="Normal"/>
        <w:spacing w:lineRule="exact" w:line="276" w:before="0" w:after="160"/>
        <w:rPr/>
      </w:pPr>
      <w:r>
        <w:rPr>
          <w:rFonts w:eastAsia="Calibri" w:cs="Calibri"/>
        </w:rPr>
        <w:t>Seorang kader Posyandu di wilayah pedesaan melaporkan kesulitan memisahkan seorang ibu hamil dari mertuanya yang selalu menemani setiap kunjungan pemeriksaan kehamilan. Dengan pelatihan teknik skrining privat, kader tersebut belajar memanfaatkan momen penimbangan berat badan di ruang terpisah untuk menanyakan pertanyaan skrining secara singkat namun privat, yang akhirnya mengungkap pola penelantaran ekonomi oleh mertua terhadap menantu selama kehamilan.</w:t>
      </w:r>
    </w:p>
    <w:p>
      <w:pPr>
        <w:pStyle w:val="Heading3"/>
        <w:spacing w:before="320" w:after="160"/>
        <w:rPr/>
      </w:pPr>
      <w:bookmarkStart w:id="25" w:name="__RefHeading___Toc615_3416633461"/>
      <w:bookmarkEnd w:id="25"/>
      <w:r>
        <w:rPr/>
        <w:t>Pertanyaan Refleksi</w:t>
      </w:r>
    </w:p>
    <w:p>
      <w:pPr>
        <w:pStyle w:val="Normal"/>
        <w:spacing w:lineRule="exact" w:line="276" w:before="0" w:after="100"/>
        <w:ind w:hanging="260" w:left="400"/>
        <w:rPr/>
      </w:pPr>
      <w:r>
        <w:rPr>
          <w:rFonts w:eastAsia="Calibri" w:cs="Calibri"/>
        </w:rPr>
        <w:t>1. Bagaimana Anda akan merancang alur pelayanan di Puskesmas/Posyandu tempat Anda bertugas agar prasyarat privasi skrining dapat terpenuhi tanpa menimbulkan kecurigaan dari pendamping Pasien?</w:t>
      </w:r>
    </w:p>
    <w:p>
      <w:pPr>
        <w:pStyle w:val="Normal"/>
        <w:spacing w:lineRule="exact" w:line="276" w:before="0" w:after="100"/>
        <w:ind w:hanging="260" w:left="400"/>
        <w:rPr/>
      </w:pPr>
      <w:r>
        <w:rPr>
          <w:rFonts w:eastAsia="Calibri" w:cs="Calibri"/>
        </w:rPr>
        <w:t>2. Apa perbedaan mendasar antara pendekatan skrining berbasis kecurigaan klinis dan skrining rutin universal, dan mengapa perbedaan ini penting dalam konteks kontrol koersif yang dibahas pada Bab 1?</w:t>
      </w:r>
    </w:p>
    <w:p>
      <w:pPr>
        <w:pStyle w:val="Normal"/>
        <w:rPr/>
      </w:pPr>
      <w:r>
        <w:rPr/>
      </w:r>
      <w:r>
        <w:br w:type="page"/>
      </w:r>
    </w:p>
    <w:p>
      <w:pPr>
        <w:pStyle w:val="Heading1"/>
        <w:spacing w:before="0" w:after="160"/>
        <w:rPr/>
      </w:pPr>
      <w:bookmarkStart w:id="26" w:name="__RefHeading___Toc617_3416633461"/>
      <w:bookmarkEnd w:id="26"/>
      <w:r>
        <w:rPr/>
        <w:t>Bab 3 — Pendekatan Trauma-Informed dalam Anamnesis dan Konseling</w:t>
      </w:r>
    </w:p>
    <w:p>
      <w:pPr>
        <w:pStyle w:val="Heading2"/>
        <w:spacing w:before="320" w:after="160"/>
        <w:rPr/>
      </w:pPr>
      <w:bookmarkStart w:id="27" w:name="__RefHeading___Toc619_3416633461"/>
      <w:bookmarkEnd w:id="27"/>
      <w:r>
        <w:rPr/>
        <w:t>3.1 Mengapa Trauma-Informed Care Diperlukan</w:t>
      </w:r>
    </w:p>
    <w:p>
      <w:pPr>
        <w:pStyle w:val="Normal"/>
        <w:spacing w:lineRule="exact" w:line="276" w:before="0" w:after="160"/>
        <w:rPr/>
      </w:pPr>
      <w:r>
        <w:rPr>
          <w:rFonts w:eastAsia="Calibri" w:cs="Calibri"/>
          <w:i/>
          <w:iCs/>
          <w:color w:val="444444"/>
        </w:rPr>
        <w:t>Bayangkan menjalani pemeriksaan panggul rutin, tetapi setiap sentuhan memicu ingatan tentang kekerasan yang pernah dialami — sementara petugas yang memeriksa sama sekali tidak menyadarinya. Tanpa kerangka trauma-informed, inilah yang dialami sebagian Pasien setiap kali datang ke layanan kesehatan reproduksi.</w:t>
      </w:r>
    </w:p>
    <w:p>
      <w:pPr>
        <w:pStyle w:val="Normal"/>
        <w:spacing w:lineRule="exact" w:line="276" w:before="0" w:after="160"/>
        <w:rPr/>
      </w:pPr>
      <w:r>
        <w:rPr>
          <w:rFonts w:eastAsia="Calibri" w:cs="Calibri"/>
        </w:rPr>
        <w:t>Pendekatan trauma-informed (peduli-trauma) berangkat dari premis bahwa banyak Pasien yang datang ke layanan kesehatan reproduksi membawa riwayat trauma — baik trauma yang menjadi alasan kedatangan (KBG yang baru terjadi) maupun trauma masa lalu yang tidak terkait langsung dengan keluhan saat ini namun memengaruhi cara Pasien berinteraksi dengan tenaga kesehatan. Tanpa kerangka ini, prosedur klinis rutin — pemeriksaan panggul, pertanyaan tentang riwayat seksual, bahkan posisi fisik selama pemeriksaan — berpotensi memicu ulang (*retraumatize*) pengalaman traumatis Pasien.</w:t>
      </w:r>
    </w:p>
    <w:p>
      <w:pPr>
        <w:pStyle w:val="Normal"/>
        <w:spacing w:lineRule="exact" w:line="276" w:before="0" w:after="160"/>
        <w:rPr/>
      </w:pPr>
      <w:r>
        <w:rPr>
          <w:rFonts w:eastAsia="Calibri" w:cs="Calibri"/>
        </w:rPr>
        <w:t>Empat prinsip inti trauma-informed care yang relevan bagi praktik Obginsos di tingkat masyarakat adalah: keamanan (fisik dan emosional), kepercayaan dan transparansi, kolaborasi dan saling menghargai suara Pasien, serta pemberdayaan dan pilihan. Prinsip-prinsip ini bukan sekadar sikap empatik generik, melainkan kerangka teknis yang mengubah cara anamnesis dan konseling dijalankan secara konkret.</w:t>
      </w:r>
    </w:p>
    <w:p>
      <w:pPr>
        <w:pStyle w:val="Normal"/>
        <w:pBdr>
          <w:left w:val="single" w:sz="24" w:space="8" w:color="2E6F6E"/>
        </w:pBdr>
        <w:shd w:val="clear" w:fill="E6F0EF"/>
        <w:spacing w:before="0" w:after="60"/>
        <w:ind w:left="200"/>
        <w:rPr/>
      </w:pPr>
      <w:r>
        <w:rPr>
          <w:rFonts w:eastAsia="Calibri" w:cs="Calibri"/>
          <w:b/>
          <w:bCs/>
          <w:color w:val="2E6F6E"/>
          <w:sz w:val="20"/>
          <w:szCs w:val="20"/>
        </w:rPr>
        <w:t>ILUSTRASI PENERAPAN</w:t>
      </w:r>
    </w:p>
    <w:p>
      <w:pPr>
        <w:pStyle w:val="Normal"/>
        <w:pBdr>
          <w:left w:val="single" w:sz="24" w:space="8" w:color="2E6F6E"/>
        </w:pBdr>
        <w:shd w:val="clear" w:fill="E6F0EF"/>
        <w:spacing w:lineRule="exact" w:line="276" w:before="0" w:after="200"/>
        <w:ind w:left="200"/>
        <w:rPr/>
      </w:pPr>
      <w:r>
        <w:rPr>
          <w:rFonts w:eastAsia="Calibri" w:cs="Calibri"/>
        </w:rPr>
        <w:t>Seorang Pasien tiba-tiba membeku dan berhenti merespons pertanyaan saat pemeriksaan panggul dimulai tanpa penjelasan sebelumnya. Pada kunjungan berikutnya, dokter menerapkan prinsip transparansi: menjelaskan setiap langkah sebelum menyentuh, menawarkan jeda kapan saja diminta, dan meminta izin eksplisit di setiap tahap. Pasien yang sama menyelesaikan pemeriksaan tanpa episode serupa terulang.</w:t>
      </w:r>
    </w:p>
    <w:p>
      <w:pPr>
        <w:pStyle w:val="Heading2"/>
        <w:spacing w:before="320" w:after="160"/>
        <w:rPr/>
      </w:pPr>
      <w:bookmarkStart w:id="28" w:name="__RefHeading___Toc621_3416633461"/>
      <w:bookmarkEnd w:id="28"/>
      <w:r>
        <w:rPr/>
        <w:t>3.2 Dampak Neurobiologis Trauma terhadap Anamnesis</w:t>
      </w:r>
    </w:p>
    <w:p>
      <w:pPr>
        <w:pStyle w:val="Normal"/>
        <w:spacing w:lineRule="exact" w:line="276" w:before="0" w:after="160"/>
        <w:rPr/>
      </w:pPr>
      <w:r>
        <w:rPr>
          <w:rFonts w:eastAsia="Calibri" w:cs="Calibri"/>
          <w:i/>
          <w:iCs/>
          <w:color w:val="444444"/>
        </w:rPr>
        <w:t>Tanpa memahami bagaimana otak merespons trauma, tenaga kesehatan berisiko salah menilai Pasien yang justru paling membutuhkan kepercayaan — menganggap ingatan yang kacau atau ekspresi wajah yang datar sebagai tanda ketidakjujuran.</w:t>
      </w:r>
    </w:p>
    <w:p>
      <w:pPr>
        <w:pStyle w:val="Normal"/>
        <w:spacing w:lineRule="exact" w:line="276" w:before="0" w:after="160"/>
        <w:rPr/>
      </w:pPr>
      <w:r>
        <w:rPr>
          <w:rFonts w:eastAsia="Calibri" w:cs="Calibri"/>
        </w:rPr>
        <w:t>Pemahaman dasar neurobiologi trauma penting agar tenaga kesehatan tidak salah menginterpretasi respons Pasien. Trauma akut maupun kronis dapat memengaruhi fungsi memori (ingatan terfragmentasi atau tidak kronologis bukan berarti tidak kredibel), respons emosional (afek datar atau justru tampak tenang saat menceritakan kejadian traumatis — dikenal sebagai *tonic immobility* atau respons "beku" — bukan indikasi kebohongan), dan kapasitas pengambilan keputusan di bawah tekanan (Pasien dalam krisis akut mungkin tidak mampu memproses informasi kompleks atau membuat keputusan besar seketika).</w:t>
      </w:r>
    </w:p>
    <w:p>
      <w:pPr>
        <w:pStyle w:val="Normal"/>
        <w:pBdr>
          <w:left w:val="single" w:sz="24" w:space="8" w:color="2C3A64"/>
        </w:pBdr>
        <w:shd w:val="clear" w:fill="EAEDF4"/>
        <w:spacing w:before="0" w:after="60"/>
        <w:ind w:left="200"/>
        <w:rPr/>
      </w:pPr>
      <w:r>
        <w:rPr>
          <w:rFonts w:eastAsia="Calibri" w:cs="Calibri"/>
          <w:b/>
          <w:bCs/>
          <w:color w:val="2C3A64"/>
          <w:sz w:val="20"/>
          <w:szCs w:val="20"/>
        </w:rPr>
        <w:t>CATATAN KLINIS</w:t>
      </w:r>
    </w:p>
    <w:p>
      <w:pPr>
        <w:pStyle w:val="Normal"/>
        <w:pBdr>
          <w:left w:val="single" w:sz="24" w:space="8" w:color="2C3A64"/>
        </w:pBdr>
        <w:shd w:val="clear" w:fill="EAEDF4"/>
        <w:spacing w:lineRule="exact" w:line="276" w:before="0" w:after="200"/>
        <w:ind w:left="200"/>
        <w:rPr/>
      </w:pPr>
      <w:r>
        <w:rPr>
          <w:rFonts w:eastAsia="Calibri" w:cs="Calibri"/>
        </w:rPr>
        <w:t>Tenaga kesehatan yang tidak memahami *tonic immobility* berisiko keliru menilai kredibilitas Pasien berdasarkan ekspresi emosional saat bercerita — sebuah bias yang juga relevan dipahami saat kelak melakukan dokumentasi forensik (Bab 5), karena penilaian kredibilitas semacam ini bukan kewenangan maupun tugas tenaga kesehatan.</w:t>
      </w:r>
    </w:p>
    <w:p>
      <w:pPr>
        <w:pStyle w:val="Normal"/>
        <w:pBdr>
          <w:left w:val="single" w:sz="24" w:space="8" w:color="2E6F6E"/>
        </w:pBdr>
        <w:shd w:val="clear" w:fill="E6F0EF"/>
        <w:spacing w:before="0" w:after="60"/>
        <w:ind w:left="200"/>
        <w:rPr/>
      </w:pPr>
      <w:r>
        <w:rPr>
          <w:rFonts w:eastAsia="Calibri" w:cs="Calibri"/>
          <w:b/>
          <w:bCs/>
          <w:color w:val="2E6F6E"/>
          <w:sz w:val="20"/>
          <w:szCs w:val="20"/>
        </w:rPr>
        <w:t>ILUSTRASI PENERAPAN</w:t>
      </w:r>
    </w:p>
    <w:p>
      <w:pPr>
        <w:pStyle w:val="Normal"/>
        <w:pBdr>
          <w:left w:val="single" w:sz="24" w:space="8" w:color="2E6F6E"/>
        </w:pBdr>
        <w:shd w:val="clear" w:fill="E6F0EF"/>
        <w:spacing w:lineRule="exact" w:line="276" w:before="0" w:after="200"/>
        <w:ind w:left="200"/>
        <w:rPr/>
      </w:pPr>
      <w:r>
        <w:rPr>
          <w:rFonts w:eastAsia="Calibri" w:cs="Calibri"/>
        </w:rPr>
        <w:t>Seorang perawat mencurigai cerita Pasien "dibuat-buat" karena Pasien menceritakan kekerasan seksual yang dialaminya dengan nada datar dan tanpa air mata. Setelah mengikuti pelatihan neurobiologi trauma, perawat menyadari bahwa respons datar semacam ini justru konsisten dengan *tonic immobility* — dan bukan indikator kredibilitas sama sekali.</w:t>
      </w:r>
    </w:p>
    <w:p>
      <w:pPr>
        <w:pStyle w:val="Heading2"/>
        <w:spacing w:before="320" w:after="160"/>
        <w:rPr/>
      </w:pPr>
      <w:bookmarkStart w:id="29" w:name="__RefHeading___Toc623_3416633461"/>
      <w:bookmarkEnd w:id="29"/>
      <w:r>
        <w:rPr/>
        <w:t>3.3 Teknik Anamnesis Trauma-Informed</w:t>
      </w:r>
    </w:p>
    <w:p>
      <w:pPr>
        <w:pStyle w:val="Normal"/>
        <w:spacing w:lineRule="exact" w:line="276" w:before="0" w:after="160"/>
        <w:rPr/>
      </w:pPr>
      <w:r>
        <w:rPr>
          <w:rFonts w:eastAsia="Calibri" w:cs="Calibri"/>
          <w:i/>
          <w:iCs/>
          <w:color w:val="444444"/>
        </w:rPr>
        <w:t>Prinsip di atas kertas perlu diterjemahkan menjadi kebiasaan konkret di ruang periksa — sesuatu yang bisa dilatih dan diterapkan sejak pertemuan pertama, bukan sekadar sikap yang "muncul secara alami."</w:t>
      </w:r>
    </w:p>
    <w:p>
      <w:pPr>
        <w:pStyle w:val="Heading3"/>
        <w:spacing w:before="320" w:after="160"/>
        <w:rPr/>
      </w:pPr>
      <w:bookmarkStart w:id="30" w:name="__RefHeading___Toc625_3416633461"/>
      <w:bookmarkEnd w:id="30"/>
      <w:r>
        <w:rPr/>
        <w:t>3.3.1 Kendali atas Narasi</w:t>
      </w:r>
    </w:p>
    <w:p>
      <w:pPr>
        <w:pStyle w:val="Normal"/>
        <w:spacing w:lineRule="exact" w:line="276" w:before="0" w:after="160"/>
        <w:rPr/>
      </w:pPr>
      <w:r>
        <w:rPr>
          <w:rFonts w:eastAsia="Calibri" w:cs="Calibri"/>
        </w:rPr>
        <w:t>Pasien diberi kendali atas kecepatan dan kedalaman pengungkapan. Prinsip praktis meliputi: tidak memaksa Pasien menceritakan detail kejadian yang tidak relevan secara klinis, memberi opsi eksplisit ("Anda boleh berhenti kapan saja" atau "Anda tidak wajib menjawab pertanyaan yang tidak nyaman"), dan menghindari pengulangan pertanyaan yang sama oleh petugas berbeda tanpa keperluan (yang berisiko retraumatisasi kumulatif) — mendorong dokumentasi yang baik agar informasi dapat diteruskan antarpetugas tanpa Pasien harus mengulang cerita berkali-kali.</w:t>
      </w:r>
    </w:p>
    <w:p>
      <w:pPr>
        <w:pStyle w:val="Normal"/>
        <w:pBdr>
          <w:left w:val="single" w:sz="24" w:space="8" w:color="2E6F6E"/>
        </w:pBdr>
        <w:shd w:val="clear" w:fill="E6F0EF"/>
        <w:spacing w:before="0" w:after="60"/>
        <w:ind w:left="200"/>
        <w:rPr/>
      </w:pPr>
      <w:r>
        <w:rPr>
          <w:rFonts w:eastAsia="Calibri" w:cs="Calibri"/>
          <w:b/>
          <w:bCs/>
          <w:color w:val="2E6F6E"/>
          <w:sz w:val="20"/>
          <w:szCs w:val="20"/>
        </w:rPr>
        <w:t>ILUSTRASI PENERAPAN</w:t>
      </w:r>
    </w:p>
    <w:p>
      <w:pPr>
        <w:pStyle w:val="Normal"/>
        <w:pBdr>
          <w:left w:val="single" w:sz="24" w:space="8" w:color="2E6F6E"/>
        </w:pBdr>
        <w:shd w:val="clear" w:fill="E6F0EF"/>
        <w:spacing w:lineRule="exact" w:line="276" w:before="0" w:after="200"/>
        <w:ind w:left="200"/>
        <w:rPr/>
      </w:pPr>
      <w:r>
        <w:rPr>
          <w:rFonts w:eastAsia="Calibri" w:cs="Calibri"/>
        </w:rPr>
        <w:t>Alih-alih bertanya "Apa yang terjadi selanjutnya?" secara mendesak, bidan berkata, "Anda hanya perlu menceritakan sebanyak yang Anda rasa nyaman hari ini — kita bisa lanjutkan lain waktu." Pasien yang semula ragu-ragu akhirnya bersedia mengungkap lebih banyak justru karena tidak merasa dipaksa menyelesaikan seluruh cerita sekaligus.</w:t>
      </w:r>
    </w:p>
    <w:p>
      <w:pPr>
        <w:pStyle w:val="Heading3"/>
        <w:spacing w:before="320" w:after="160"/>
        <w:rPr/>
      </w:pPr>
      <w:bookmarkStart w:id="31" w:name="__RefHeading___Toc627_3416633461"/>
      <w:bookmarkEnd w:id="31"/>
      <w:r>
        <w:rPr/>
        <w:t>3.3.2 Bahasa dan Framing Pertanyaan</w:t>
      </w:r>
    </w:p>
    <w:p>
      <w:pPr>
        <w:pStyle w:val="Normal"/>
        <w:spacing w:lineRule="exact" w:line="276" w:before="0" w:after="160"/>
        <w:rPr/>
      </w:pPr>
      <w:r>
        <w:rPr>
          <w:rFonts w:eastAsia="Calibri" w:cs="Calibri"/>
        </w:rPr>
        <w:t>Bahasa yang digunakan harus menghindari framing yang menyalahkan korban (*victim-blaming*), baik secara eksplisit ("mengapa Anda tidak segera pergi?") maupun implisit melalui nada suara atau ekspresi wajah. Pertanyaan disusun dalam kalimat yang menempatkan tanggung jawab pada pelaku, bukan pada perilaku Pasien.</w:t>
      </w:r>
    </w:p>
    <w:p>
      <w:pPr>
        <w:pStyle w:val="Normal"/>
        <w:pBdr>
          <w:left w:val="single" w:sz="24" w:space="8" w:color="2E6F6E"/>
        </w:pBdr>
        <w:shd w:val="clear" w:fill="E6F0EF"/>
        <w:spacing w:before="0" w:after="60"/>
        <w:ind w:left="200"/>
        <w:rPr/>
      </w:pPr>
      <w:r>
        <w:rPr>
          <w:rFonts w:eastAsia="Calibri" w:cs="Calibri"/>
          <w:b/>
          <w:bCs/>
          <w:color w:val="2E6F6E"/>
          <w:sz w:val="20"/>
          <w:szCs w:val="20"/>
        </w:rPr>
        <w:t>ILUSTRASI PENERAPAN</w:t>
      </w:r>
    </w:p>
    <w:p>
      <w:pPr>
        <w:pStyle w:val="Normal"/>
        <w:pBdr>
          <w:left w:val="single" w:sz="24" w:space="8" w:color="2E6F6E"/>
        </w:pBdr>
        <w:shd w:val="clear" w:fill="E6F0EF"/>
        <w:spacing w:lineRule="exact" w:line="276" w:before="0" w:after="200"/>
        <w:ind w:left="200"/>
        <w:rPr/>
      </w:pPr>
      <w:r>
        <w:rPr>
          <w:rFonts w:eastAsia="Calibri" w:cs="Calibri"/>
        </w:rPr>
        <w:t>Alih-alih bertanya "Kenapa Anda tidak melawan?", petugas bertanya, "Bagaimana Anda melindungi diri Anda saat itu?" — pertanyaan kedua mengakui bahwa Pasien telah melakukan sesuatu untuk bertahan, alih-alih menyiratkan bahwa ketiadaan perlawanan adalah kesalahan Pasien.</w:t>
      </w:r>
    </w:p>
    <w:p>
      <w:pPr>
        <w:pStyle w:val="Heading3"/>
        <w:spacing w:before="320" w:after="160"/>
        <w:rPr/>
      </w:pPr>
      <w:bookmarkStart w:id="32" w:name="__RefHeading___Toc629_3416633461"/>
      <w:bookmarkEnd w:id="32"/>
      <w:r>
        <w:rPr/>
        <w:t>3.3.3 Ruang Fisik dan Bahasa Tubuh</w:t>
      </w:r>
    </w:p>
    <w:p>
      <w:pPr>
        <w:pStyle w:val="Normal"/>
        <w:spacing w:lineRule="exact" w:line="276" w:before="0" w:after="160"/>
        <w:rPr/>
      </w:pPr>
      <w:r>
        <w:rPr>
          <w:rFonts w:eastAsia="Calibri" w:cs="Calibri"/>
        </w:rPr>
        <w:t>Pengaturan ruang periksa memengaruhi rasa aman Pasien: posisi duduk yang tidak menghalangi akses Pasien ke pintu, jarak fisik yang menghormati ruang personal, dan penjelasan eksplisit sebelum melakukan pemeriksaan fisik apa pun — terutama pemeriksaan panggul, yang bagi penyintas kekerasan seksual dapat memicu respons traumatis yang kuat.</w:t>
      </w:r>
    </w:p>
    <w:p>
      <w:pPr>
        <w:pStyle w:val="Normal"/>
        <w:pBdr>
          <w:left w:val="single" w:sz="24" w:space="8" w:color="2E6F6E"/>
        </w:pBdr>
        <w:shd w:val="clear" w:fill="E6F0EF"/>
        <w:spacing w:before="0" w:after="60"/>
        <w:ind w:left="200"/>
        <w:rPr/>
      </w:pPr>
      <w:r>
        <w:rPr>
          <w:rFonts w:eastAsia="Calibri" w:cs="Calibri"/>
          <w:b/>
          <w:bCs/>
          <w:color w:val="2E6F6E"/>
          <w:sz w:val="20"/>
          <w:szCs w:val="20"/>
        </w:rPr>
        <w:t>ILUSTRASI PENERAPAN</w:t>
      </w:r>
    </w:p>
    <w:p>
      <w:pPr>
        <w:pStyle w:val="Normal"/>
        <w:pBdr>
          <w:left w:val="single" w:sz="24" w:space="8" w:color="2E6F6E"/>
        </w:pBdr>
        <w:shd w:val="clear" w:fill="E6F0EF"/>
        <w:spacing w:lineRule="exact" w:line="276" w:before="0" w:after="200"/>
        <w:ind w:left="200"/>
        <w:rPr/>
      </w:pPr>
      <w:r>
        <w:rPr>
          <w:rFonts w:eastAsia="Calibri" w:cs="Calibri"/>
        </w:rPr>
        <w:t>Sebuah klinik mengubah tata letak meja periksa agar Pasien selalu memiliki pandangan langsung ke pintu keluar, dan melatih seluruh staf untuk selalu berkata "saya akan menyentuh bagian ini sekarang, boleh?" sebelum pemeriksaan fisik — perubahan sederhana yang dilaporkan Pasien membuat mereka merasa jauh lebih dalam kendali selama pemeriksaan.</w:t>
      </w:r>
    </w:p>
    <w:p>
      <w:pPr>
        <w:pStyle w:val="Heading2"/>
        <w:spacing w:before="320" w:after="160"/>
        <w:rPr/>
      </w:pPr>
      <w:bookmarkStart w:id="33" w:name="__RefHeading___Toc631_3416633461"/>
      <w:bookmarkEnd w:id="33"/>
      <w:r>
        <w:rPr/>
        <w:t>3.4 Konseling Nondirektif</w:t>
      </w:r>
    </w:p>
    <w:p>
      <w:pPr>
        <w:pStyle w:val="Normal"/>
        <w:spacing w:lineRule="exact" w:line="276" w:before="0" w:after="160"/>
        <w:rPr/>
      </w:pPr>
      <w:r>
        <w:rPr>
          <w:rFonts w:eastAsia="Calibri" w:cs="Calibri"/>
          <w:i/>
          <w:iCs/>
          <w:color w:val="444444"/>
        </w:rPr>
        <w:t>Naluri untuk "menyelamatkan" Pasien dengan menyuruhnya segera pergi dari pelaku sering kali datang dari niat baik — namun niat baik yang dipaksakan dapat mereplikasi persis pola kontrol yang dialami Pasien dari pelakunya sendiri.</w:t>
      </w:r>
    </w:p>
    <w:p>
      <w:pPr>
        <w:pStyle w:val="Normal"/>
        <w:spacing w:lineRule="exact" w:line="276" w:before="0" w:after="160"/>
        <w:rPr/>
      </w:pPr>
      <w:r>
        <w:rPr>
          <w:rFonts w:eastAsia="Calibri" w:cs="Calibri"/>
        </w:rPr>
        <w:t>Prinsip nondirektif — yang juga menjadi dasar konseling kehamilan tidak diinginkan sebagaimana dibahas pada Dokumen 2 Seri Pedoman RS terkait Formulir Konseling Nondirektif (F4) — berlaku pula pada konseling penyintas KBG. Nondirektif berarti tenaga kesehatan menyediakan informasi lengkap tentang opsi yang tersedia (tetap dalam relasi dengan rencana keselamatan, mencari perlindungan sementara, melapor ke aparat penegak hukum, atau kombinasi bertahap) tanpa mendikte pilihan mana yang "seharusnya" diambil Pasien.</w:t>
      </w:r>
    </w:p>
    <w:p>
      <w:pPr>
        <w:pStyle w:val="Normal"/>
        <w:spacing w:lineRule="exact" w:line="276" w:before="0" w:after="160"/>
        <w:rPr/>
      </w:pPr>
      <w:r>
        <w:rPr>
          <w:rFonts w:eastAsia="Calibri" w:cs="Calibri"/>
        </w:rPr>
        <w:t>Pendekatan ini sering menimbulkan ketegangan bagi tenaga kesehatan yang secara naluriah ingin "menyelamatkan" Pasien dengan mendorong pelaporan segera atau perpisahan dari pelaku. Penting dipahami bahwa:</w:t>
      </w:r>
    </w:p>
    <w:p>
      <w:pPr>
        <w:pStyle w:val="Normal"/>
        <w:spacing w:lineRule="exact" w:line="276" w:before="0" w:after="100"/>
        <w:ind w:hanging="260" w:left="400"/>
        <w:rPr/>
      </w:pPr>
      <w:r>
        <w:rPr>
          <w:rFonts w:eastAsia="Calibri" w:cs="Calibri"/>
        </w:rPr>
        <w:t>1. Pasien adalah pihak yang paling memahami tingkat risiko dalam relasinya sendiri, termasuk risiko eskalasi kekerasan bila upaya keluar dari relasi dilakukan tanpa perencanaan matang.</w:t>
      </w:r>
    </w:p>
    <w:p>
      <w:pPr>
        <w:pStyle w:val="Normal"/>
        <w:spacing w:lineRule="exact" w:line="276" w:before="0" w:after="100"/>
        <w:ind w:hanging="260" w:left="400"/>
        <w:rPr/>
      </w:pPr>
      <w:r>
        <w:rPr>
          <w:rFonts w:eastAsia="Calibri" w:cs="Calibri"/>
        </w:rPr>
        <w:t>2. Keputusan yang dipaksakan oleh pihak luar (termasuk oleh tenaga kesehatan dengan niat baik) mereplikasi dinamika kontrol koersif yang justru dialami Pasien dari pelaku.</w:t>
      </w:r>
    </w:p>
    <w:p>
      <w:pPr>
        <w:pStyle w:val="Normal"/>
        <w:spacing w:lineRule="exact" w:line="276" w:before="0" w:after="100"/>
        <w:ind w:hanging="260" w:left="400"/>
        <w:rPr/>
      </w:pPr>
      <w:r>
        <w:rPr>
          <w:rFonts w:eastAsia="Calibri" w:cs="Calibri"/>
        </w:rPr>
        <w:t>3. Riset menunjukkan pemberdayaan melalui pilihan otonom berkorelasi dengan keberhasilan jangka panjang keluar dari relasi kekerasan, dibandingkan intervensi yang dipaksakan.</w:t>
      </w:r>
    </w:p>
    <w:p>
      <w:pPr>
        <w:pStyle w:val="Normal"/>
        <w:pBdr>
          <w:left w:val="single" w:sz="24" w:space="8" w:color="2E6F6E"/>
        </w:pBdr>
        <w:shd w:val="clear" w:fill="E6F0EF"/>
        <w:spacing w:before="0" w:after="60"/>
        <w:ind w:left="200"/>
        <w:rPr/>
      </w:pPr>
      <w:r>
        <w:rPr>
          <w:rFonts w:eastAsia="Calibri" w:cs="Calibri"/>
          <w:b/>
          <w:bCs/>
          <w:color w:val="2E6F6E"/>
          <w:sz w:val="20"/>
          <w:szCs w:val="20"/>
        </w:rPr>
        <w:t>ILUSTRASI PENERAPAN</w:t>
      </w:r>
    </w:p>
    <w:p>
      <w:pPr>
        <w:pStyle w:val="Normal"/>
        <w:pBdr>
          <w:left w:val="single" w:sz="24" w:space="8" w:color="2E6F6E"/>
        </w:pBdr>
        <w:shd w:val="clear" w:fill="E6F0EF"/>
        <w:spacing w:lineRule="exact" w:line="276" w:before="0" w:after="200"/>
        <w:ind w:left="200"/>
        <w:rPr/>
      </w:pPr>
      <w:r>
        <w:rPr>
          <w:rFonts w:eastAsia="Calibri" w:cs="Calibri"/>
        </w:rPr>
        <w:t>Seorang dokter muda merasa frustrasi ketika Pasiennya menolak saran untuk segera melapor ke polisi. Setelah supervisi, ia belajar menyampaikan seluruh opsi yang tersedia secara netral dan bertanya, "Dari semua opsi ini, mana yang terasa paling mungkin dan aman bagi Anda sekarang?" — pertanyaan yang mengembalikan kendali keputusan kepada Pasien alih-alih dokter.</w:t>
      </w:r>
    </w:p>
    <w:p>
      <w:pPr>
        <w:pStyle w:val="Heading2"/>
        <w:spacing w:before="320" w:after="160"/>
        <w:rPr/>
      </w:pPr>
      <w:bookmarkStart w:id="34" w:name="__RefHeading___Toc633_3416633461"/>
      <w:bookmarkEnd w:id="34"/>
      <w:r>
        <w:rPr/>
        <w:t>3.5 Perencanaan Keselamatan (Safety Planning)</w:t>
      </w:r>
    </w:p>
    <w:p>
      <w:pPr>
        <w:pStyle w:val="Normal"/>
        <w:spacing w:lineRule="exact" w:line="276" w:before="0" w:after="160"/>
        <w:rPr/>
      </w:pPr>
      <w:r>
        <w:rPr>
          <w:rFonts w:eastAsia="Calibri" w:cs="Calibri"/>
          <w:i/>
          <w:iCs/>
          <w:color w:val="444444"/>
        </w:rPr>
        <w:t>Ketika Pasien belum siap keluar dari relasi kekerasan, pendampingan tidak berhenti — ia bergeser bentuk, dari upaya "mengeluarkan" Pasien menjadi upaya bersama menjaga Pasien tetap seaman mungkin di mana pun keputusannya berada.</w:t>
      </w:r>
    </w:p>
    <w:p>
      <w:pPr>
        <w:pStyle w:val="Normal"/>
        <w:spacing w:lineRule="exact" w:line="276" w:before="0" w:after="160"/>
        <w:rPr/>
      </w:pPr>
      <w:r>
        <w:rPr>
          <w:rFonts w:eastAsia="Calibri" w:cs="Calibri"/>
        </w:rPr>
        <w:t>Perencanaan keselamatan adalah proses kolaboratif — bukan preskriptif — antara tenaga kesehatan/pendamping dan Pasien, yang mengidentifikasi langkah konkret untuk meningkatkan keamanan Pasien baik yang memilih tetap dalam relasi maupun yang berencana keluar. Elemen dasar meliputi identifikasi tanda peringatan eskalasi kekerasan yang dikenali Pasien sendiri, penyiapan dokumen penting dan barang darurat di lokasi aman, kesepakatan kode sinyal dengan orang tepercaya, dan informasi kontak layanan darurat (PPA, kepolisian, Rumah Aman) yang dapat diakses tanpa sepengetahuan pelaku.</w:t>
      </w:r>
    </w:p>
    <w:p>
      <w:pPr>
        <w:pStyle w:val="Normal"/>
        <w:pBdr>
          <w:left w:val="single" w:sz="24" w:space="8" w:color="2E6F6E"/>
        </w:pBdr>
        <w:shd w:val="clear" w:fill="E6F0EF"/>
        <w:spacing w:before="0" w:after="60"/>
        <w:ind w:left="200"/>
        <w:rPr/>
      </w:pPr>
      <w:r>
        <w:rPr>
          <w:rFonts w:eastAsia="Calibri" w:cs="Calibri"/>
          <w:b/>
          <w:bCs/>
          <w:color w:val="2E6F6E"/>
          <w:sz w:val="20"/>
          <w:szCs w:val="20"/>
        </w:rPr>
        <w:t>ILUSTRASI PENERAPAN</w:t>
      </w:r>
    </w:p>
    <w:p>
      <w:pPr>
        <w:pStyle w:val="Normal"/>
        <w:pBdr>
          <w:left w:val="single" w:sz="24" w:space="8" w:color="2E6F6E"/>
        </w:pBdr>
        <w:shd w:val="clear" w:fill="E6F0EF"/>
        <w:spacing w:lineRule="exact" w:line="276" w:before="0" w:after="200"/>
        <w:ind w:left="200"/>
        <w:rPr/>
      </w:pPr>
      <w:r>
        <w:rPr>
          <w:rFonts w:eastAsia="Calibri" w:cs="Calibri"/>
        </w:rPr>
        <w:t>Seorang Pasien menyepakati kode pesan singkat kepada kakaknya — mengirim emoji tertentu berarti "saya butuh dijemput sekarang" tanpa perlu menjelaskan situasi secara eksplisit yang bisa terbaca pelaku. Ia juga menitipkan salinan KTP dan sedikit uang tunai di rumah tetangga tepercaya sebagai bagian dari rencana keselamatannya.</w:t>
      </w:r>
    </w:p>
    <w:p>
      <w:pPr>
        <w:pStyle w:val="Heading2"/>
        <w:spacing w:before="320" w:after="160"/>
        <w:rPr/>
      </w:pPr>
      <w:bookmarkStart w:id="35" w:name="__RefHeading___Toc635_3416633461"/>
      <w:bookmarkEnd w:id="35"/>
      <w:r>
        <w:rPr/>
        <w:t>3.6 Kelelahan Empati dan Perawatan Diri Tenaga Kesehatan</w:t>
      </w:r>
    </w:p>
    <w:p>
      <w:pPr>
        <w:pStyle w:val="Normal"/>
        <w:spacing w:lineRule="exact" w:line="276" w:before="0" w:after="160"/>
        <w:rPr/>
      </w:pPr>
      <w:r>
        <w:rPr>
          <w:rFonts w:eastAsia="Calibri" w:cs="Calibri"/>
          <w:i/>
          <w:iCs/>
          <w:color w:val="444444"/>
        </w:rPr>
        <w:t>Bab ini akan terasa timpang bila hanya berbicara tentang Pasien tanpa mengakui bahwa mendengarkan kisah trauma berulang kali juga membebani tenaga kesehatan dan kader yang mendampinginya.</w:t>
      </w:r>
    </w:p>
    <w:p>
      <w:pPr>
        <w:pStyle w:val="Normal"/>
        <w:spacing w:lineRule="exact" w:line="276" w:before="0" w:after="160"/>
        <w:rPr/>
      </w:pPr>
      <w:r>
        <w:rPr>
          <w:rFonts w:eastAsia="Calibri" w:cs="Calibri"/>
        </w:rPr>
        <w:t>Paparan berulang terhadap kisah trauma Pasien membawa risiko *vicarious traumatization* dan kelelahan welas asih (*compassion fatigue*) bagi tenaga kesehatan dan kader komunitas. Bab ini menekankan bahwa perawatan diri tenaga kesehatan bukan kemewahan melainkan prasyarat keberlanjutan mutu pendampingan — mencakup supervisi berkala, dukungan sejawat, dan pembatasan realistis atas beban kasus per petugas, sebuah isu yang akan disinggung kembali dalam konteks jejaring dukungan pada Bab 6.</w:t>
      </w:r>
    </w:p>
    <w:p>
      <w:pPr>
        <w:pStyle w:val="Normal"/>
        <w:pBdr>
          <w:left w:val="single" w:sz="24" w:space="8" w:color="2E6F6E"/>
        </w:pBdr>
        <w:shd w:val="clear" w:fill="E6F0EF"/>
        <w:spacing w:before="0" w:after="60"/>
        <w:ind w:left="200"/>
        <w:rPr/>
      </w:pPr>
      <w:r>
        <w:rPr>
          <w:rFonts w:eastAsia="Calibri" w:cs="Calibri"/>
          <w:b/>
          <w:bCs/>
          <w:color w:val="2E6F6E"/>
          <w:sz w:val="20"/>
          <w:szCs w:val="20"/>
        </w:rPr>
        <w:t>ILUSTRASI PENERAPAN</w:t>
      </w:r>
    </w:p>
    <w:p>
      <w:pPr>
        <w:pStyle w:val="Normal"/>
        <w:pBdr>
          <w:left w:val="single" w:sz="24" w:space="8" w:color="2E6F6E"/>
        </w:pBdr>
        <w:shd w:val="clear" w:fill="E6F0EF"/>
        <w:spacing w:lineRule="exact" w:line="276" w:before="0" w:after="200"/>
        <w:ind w:left="200"/>
        <w:rPr/>
      </w:pPr>
      <w:r>
        <w:rPr>
          <w:rFonts w:eastAsia="Calibri" w:cs="Calibri"/>
        </w:rPr>
        <w:t>Seorang bidan desa yang menangani lebih dari sepuluh kasus KDRT dalam sebulan mulai merasa mati rasa dan sulit tidur. Melalui sesi supervisi kelompok bulanan yang diusulkan Subspesialis Obginsos di wilayahnya, ia dapat berbagi beban emosional dengan sejawat dan belajar mengenali tanda kelelahan welas asih pada dirinya sendiri sebelum berdampak pada kualitas pendampingannya.</w:t>
      </w:r>
    </w:p>
    <w:p>
      <w:pPr>
        <w:pStyle w:val="Heading3"/>
        <w:spacing w:before="320" w:after="160"/>
        <w:rPr/>
      </w:pPr>
      <w:bookmarkStart w:id="36" w:name="__RefHeading___Toc637_3416633461"/>
      <w:bookmarkEnd w:id="36"/>
      <w:r>
        <w:rPr/>
        <w:t>Ringkasan Poin Kunci</w:t>
      </w:r>
    </w:p>
    <w:p>
      <w:pPr>
        <w:pStyle w:val="Normal"/>
        <w:spacing w:lineRule="exact" w:line="276" w:before="0" w:after="100"/>
        <w:ind w:hanging="260" w:left="400"/>
        <w:rPr/>
      </w:pPr>
      <w:r>
        <w:rPr>
          <w:rFonts w:eastAsia="Calibri" w:cs="Calibri"/>
        </w:rPr>
        <w:t xml:space="preserve">• </w:t>
      </w:r>
      <w:r>
        <w:rPr>
          <w:rFonts w:eastAsia="Calibri" w:cs="Calibri"/>
        </w:rPr>
        <w:t>Empat prinsip inti trauma-informed care: keamanan, kepercayaan/transparansi, kolaborasi, dan pemberdayaan/pilihan.</w:t>
      </w:r>
    </w:p>
    <w:p>
      <w:pPr>
        <w:pStyle w:val="Normal"/>
        <w:spacing w:lineRule="exact" w:line="276" w:before="0" w:after="100"/>
        <w:ind w:hanging="260" w:left="400"/>
        <w:rPr/>
      </w:pPr>
      <w:r>
        <w:rPr>
          <w:rFonts w:eastAsia="Calibri" w:cs="Calibri"/>
        </w:rPr>
        <w:t xml:space="preserve">• </w:t>
      </w:r>
      <w:r>
        <w:rPr>
          <w:rFonts w:eastAsia="Calibri" w:cs="Calibri"/>
        </w:rPr>
        <w:t>Respons trauma seperti *tonic immobility* dan ingatan terfragmentasi bukan indikasi ketidakjujuran Pasien.</w:t>
      </w:r>
    </w:p>
    <w:p>
      <w:pPr>
        <w:pStyle w:val="Normal"/>
        <w:spacing w:lineRule="exact" w:line="276" w:before="0" w:after="100"/>
        <w:ind w:hanging="260" w:left="400"/>
        <w:rPr/>
      </w:pPr>
      <w:r>
        <w:rPr>
          <w:rFonts w:eastAsia="Calibri" w:cs="Calibri"/>
        </w:rPr>
        <w:t xml:space="preserve">• </w:t>
      </w:r>
      <w:r>
        <w:rPr>
          <w:rFonts w:eastAsia="Calibri" w:cs="Calibri"/>
        </w:rPr>
        <w:t>Konseling nondirektif memberdayakan Pasien mengambil keputusan sendiri, karena Pasien paling memahami risiko dalam relasinya.</w:t>
      </w:r>
    </w:p>
    <w:p>
      <w:pPr>
        <w:pStyle w:val="Normal"/>
        <w:spacing w:lineRule="exact" w:line="276" w:before="0" w:after="100"/>
        <w:ind w:hanging="260" w:left="400"/>
        <w:rPr/>
      </w:pPr>
      <w:r>
        <w:rPr>
          <w:rFonts w:eastAsia="Calibri" w:cs="Calibri"/>
        </w:rPr>
        <w:t xml:space="preserve">• </w:t>
      </w:r>
      <w:r>
        <w:rPr>
          <w:rFonts w:eastAsia="Calibri" w:cs="Calibri"/>
        </w:rPr>
        <w:t>Perencanaan keselamatan adalah proses kolaboratif yang disesuaikan dengan pilihan Pasien, baik yang tetap maupun yang keluar dari relasi.</w:t>
      </w:r>
    </w:p>
    <w:p>
      <w:pPr>
        <w:pStyle w:val="Heading3"/>
        <w:spacing w:before="320" w:after="160"/>
        <w:rPr/>
      </w:pPr>
      <w:bookmarkStart w:id="37" w:name="__RefHeading___Toc639_3416633461"/>
      <w:bookmarkEnd w:id="37"/>
      <w:r>
        <w:rPr/>
        <w:t>Vignette</w:t>
      </w:r>
    </w:p>
    <w:p>
      <w:pPr>
        <w:pStyle w:val="Normal"/>
        <w:spacing w:lineRule="exact" w:line="276" w:before="0" w:after="160"/>
        <w:rPr/>
      </w:pPr>
      <w:r>
        <w:rPr>
          <w:rFonts w:eastAsia="Calibri" w:cs="Calibri"/>
        </w:rPr>
        <w:t>Seorang bidan desa merasa frustrasi karena seorang Pasien penyintas KDRT memilih tetap tinggal bersama suaminya meskipun telah diberi informasi lengkap tentang Rumah Aman dan opsi pelaporan. Melalui supervisi dengan Subspesialis Obginsos, bidan tersebut belajar bahwa penilaian risiko Pasien atas keselamatan anak-anaknya bila keluar dari relasi tanpa persiapan ekonomi adalah pertimbangan valid, dan peran bidan adalah memastikan Pasien memiliki rencana keselamatan sementara serta akses informasi berkelanjutan, bukan memaksakan keputusan keluar dari relasi.</w:t>
      </w:r>
    </w:p>
    <w:p>
      <w:pPr>
        <w:pStyle w:val="Heading3"/>
        <w:spacing w:before="320" w:after="160"/>
        <w:rPr/>
      </w:pPr>
      <w:bookmarkStart w:id="38" w:name="__RefHeading___Toc641_3416633461"/>
      <w:bookmarkEnd w:id="38"/>
      <w:r>
        <w:rPr/>
        <w:t>Pertanyaan Refleksi</w:t>
      </w:r>
    </w:p>
    <w:p>
      <w:pPr>
        <w:pStyle w:val="Normal"/>
        <w:spacing w:lineRule="exact" w:line="276" w:before="0" w:after="100"/>
        <w:ind w:hanging="260" w:left="400"/>
        <w:rPr/>
      </w:pPr>
      <w:r>
        <w:rPr>
          <w:rFonts w:eastAsia="Calibri" w:cs="Calibri"/>
        </w:rPr>
        <w:t>1. Bagaimana Anda akan menjelaskan kepada sejawat yang belum memahami trauma-informed care mengapa keputusan Pasien untuk tetap dalam relasi kekerasan bukan kegagalan intervensi klinis?</w:t>
      </w:r>
    </w:p>
    <w:p>
      <w:pPr>
        <w:pStyle w:val="Normal"/>
        <w:spacing w:lineRule="exact" w:line="276" w:before="0" w:after="100"/>
        <w:ind w:hanging="260" w:left="400"/>
        <w:rPr/>
      </w:pPr>
      <w:r>
        <w:rPr>
          <w:rFonts w:eastAsia="Calibri" w:cs="Calibri"/>
        </w:rPr>
        <w:t>2. Identifikasi tiga elemen ruang fisik di tempat kerja Anda yang dapat disesuaikan untuk meningkatkan rasa aman Pasien penyintas trauma.</w:t>
      </w:r>
    </w:p>
    <w:p>
      <w:pPr>
        <w:pStyle w:val="Normal"/>
        <w:rPr/>
      </w:pPr>
      <w:r>
        <w:rPr/>
      </w:r>
      <w:r>
        <w:br w:type="page"/>
      </w:r>
    </w:p>
    <w:p>
      <w:pPr>
        <w:pStyle w:val="Heading1"/>
        <w:spacing w:before="0" w:after="160"/>
        <w:rPr/>
      </w:pPr>
      <w:bookmarkStart w:id="39" w:name="__RefHeading___Toc643_3416633461"/>
      <w:bookmarkEnd w:id="39"/>
      <w:r>
        <w:rPr/>
        <w:t>Bab 4 — Kerja Sama dengan Unit Pelayanan Perempuan dan Anak (PPA) dan Aparat Penegak Hukum</w:t>
      </w:r>
    </w:p>
    <w:p>
      <w:pPr>
        <w:pStyle w:val="Heading2"/>
        <w:spacing w:before="320" w:after="160"/>
        <w:rPr/>
      </w:pPr>
      <w:bookmarkStart w:id="40" w:name="__RefHeading___Toc645_3416633461"/>
      <w:bookmarkEnd w:id="40"/>
      <w:r>
        <w:rPr/>
        <w:t>4.1 Kedudukan Unit PPA dalam Sistem Perlindungan</w:t>
      </w:r>
    </w:p>
    <w:p>
      <w:pPr>
        <w:pStyle w:val="Normal"/>
        <w:spacing w:lineRule="exact" w:line="276" w:before="0" w:after="160"/>
        <w:rPr/>
      </w:pPr>
      <w:r>
        <w:rPr>
          <w:rFonts w:eastAsia="Calibri" w:cs="Calibri"/>
          <w:i/>
          <w:iCs/>
          <w:color w:val="444444"/>
        </w:rPr>
        <w:t>Rujukan ke aparat penegak hukum sering terasa seperti "menyerahkan" Pasien ke sistem yang asing dan menakutkan. Memahami mandat khusus Unit PPA membantu Subspesialis Obginsos menjelaskan kepada Pasien bahwa unit ini dirancang berbeda dari kesan "kantor polisi" pada umumnya.</w:t>
      </w:r>
    </w:p>
    <w:p>
      <w:pPr>
        <w:pStyle w:val="Normal"/>
        <w:spacing w:lineRule="exact" w:line="276" w:before="0" w:after="160"/>
        <w:rPr/>
      </w:pPr>
      <w:r>
        <w:rPr>
          <w:rFonts w:eastAsia="Calibri" w:cs="Calibri"/>
        </w:rPr>
        <w:t>Unit Pelayanan Perempuan dan Anak (PPA) pada institusi kepolisian merupakan simpul utama sistem penegakan hukum yang menangani kasus KBG, dengan mandat memberikan pelayanan yang responsif terhadap kebutuhan psikologis penyintas — berbeda dari unit reserse kriminal umum. Subspesialis Obginsos dan tenaga kesehatan tingkat masyarakat berinteraksi dengan Unit PPA terutama dalam tiga skenario: rujukan Pasien yang memilih melapor secara resmi, permintaan keterangan ahli/visum atas permintaan penyidik (dibahas lebih rinci pada Bab 5), dan koordinasi kasus yang melibatkan kewajiban pelaporan (misalnya kekerasan terhadap anak).</w:t>
      </w:r>
    </w:p>
    <w:p>
      <w:pPr>
        <w:pStyle w:val="Normal"/>
        <w:spacing w:lineRule="exact" w:line="276" w:before="0" w:after="160"/>
        <w:rPr/>
      </w:pPr>
      <w:r>
        <w:rPr>
          <w:rFonts w:eastAsia="Calibri" w:cs="Calibri"/>
        </w:rPr>
        <w:t>Pemahaman peran dan batas kewenangan masing-masing pihak penting untuk mencegah dua kegagalan yang sering terjadi: tenaga kesehatan mengambil alih peran investigatif yang bukan kompetensinya, atau sebaliknya, aparat penegak hukum bergantung pada tenaga kesehatan untuk keputusan yang seharusnya menjadi domain hukum.</w:t>
      </w:r>
    </w:p>
    <w:p>
      <w:pPr>
        <w:pStyle w:val="Normal"/>
        <w:pBdr>
          <w:left w:val="single" w:sz="24" w:space="8" w:color="2E6F6E"/>
        </w:pBdr>
        <w:shd w:val="clear" w:fill="E6F0EF"/>
        <w:spacing w:before="0" w:after="60"/>
        <w:ind w:left="200"/>
        <w:rPr/>
      </w:pPr>
      <w:r>
        <w:rPr>
          <w:rFonts w:eastAsia="Calibri" w:cs="Calibri"/>
          <w:b/>
          <w:bCs/>
          <w:color w:val="2E6F6E"/>
          <w:sz w:val="20"/>
          <w:szCs w:val="20"/>
        </w:rPr>
        <w:t>ILUSTRASI PENERAPAN</w:t>
      </w:r>
    </w:p>
    <w:p>
      <w:pPr>
        <w:pStyle w:val="Normal"/>
        <w:pBdr>
          <w:left w:val="single" w:sz="24" w:space="8" w:color="2E6F6E"/>
        </w:pBdr>
        <w:shd w:val="clear" w:fill="E6F0EF"/>
        <w:spacing w:lineRule="exact" w:line="276" w:before="0" w:after="200"/>
        <w:ind w:left="200"/>
        <w:rPr/>
      </w:pPr>
      <w:r>
        <w:rPr>
          <w:rFonts w:eastAsia="Calibri" w:cs="Calibri"/>
        </w:rPr>
        <w:t>Seorang Pasien enggan melapor karena membayangkan proses interogasi yang menakutkan seperti yang ia lihat di televisi. Bidan menjelaskan bahwa Unit PPA memiliki ruang pemeriksaan khusus yang lebih ramah dan petugas yang dilatih menangani kasus kekerasan berbasis gender — penjelasan yang membuat Pasien bersedia mempertimbangkan opsi tersebut, meski keputusan akhirnya tetap di tangannya.</w:t>
      </w:r>
    </w:p>
    <w:p>
      <w:pPr>
        <w:pStyle w:val="Heading2"/>
        <w:spacing w:before="320" w:after="160"/>
        <w:rPr/>
      </w:pPr>
      <w:bookmarkStart w:id="41" w:name="__RefHeading___Toc647_3416633461"/>
      <w:bookmarkEnd w:id="41"/>
      <w:r>
        <w:rPr/>
        <w:t>4.2 Prinsip Rujukan ke Unit PPA</w:t>
      </w:r>
    </w:p>
    <w:p>
      <w:pPr>
        <w:pStyle w:val="Normal"/>
        <w:spacing w:lineRule="exact" w:line="276" w:before="0" w:after="160"/>
        <w:rPr/>
      </w:pPr>
      <w:r>
        <w:rPr>
          <w:rFonts w:eastAsia="Calibri" w:cs="Calibri"/>
          <w:i/>
          <w:iCs/>
          <w:color w:val="444444"/>
        </w:rPr>
        <w:t>Kapan harus merujuk, dan atas dasar keputusan siapa? Pertanyaan ini tampak sederhana, namun jawabannya berubah drastis tergantung apakah Pasien adalah orang dewasa atau anak.</w:t>
      </w:r>
    </w:p>
    <w:p>
      <w:pPr>
        <w:pStyle w:val="Heading3"/>
        <w:spacing w:before="320" w:after="160"/>
        <w:rPr/>
      </w:pPr>
      <w:bookmarkStart w:id="42" w:name="__RefHeading___Toc649_3416633461"/>
      <w:bookmarkEnd w:id="42"/>
      <w:r>
        <w:rPr/>
        <w:t>4.2.1 Kapan Rujukan Dilakukan</w:t>
      </w:r>
    </w:p>
    <w:p>
      <w:pPr>
        <w:pStyle w:val="Normal"/>
        <w:spacing w:lineRule="exact" w:line="276" w:before="0" w:after="160"/>
        <w:rPr/>
      </w:pPr>
      <w:r>
        <w:rPr>
          <w:rFonts w:eastAsia="Calibri" w:cs="Calibri"/>
        </w:rPr>
        <w:t>Rujukan ke Unit PPA dilakukan berdasarkan pilihan Pasien (konsisten dengan prinsip nondirektif pada Bab 3), kecuali pada situasi yang melibatkan kewajiban pelaporan yang diatur secara hukum — khususnya kasus yang melibatkan korban anak, di mana peraturan perundang-undangan mengenai perlindungan anak yang berlaku menciptakan kewajiban pelaporan yang berbeda dari kasus dewasa yang bersifat sepenuhnya atas pilihan korban. Ketegangan antara otonomi Pasien dewasa dan kewajiban pelaporan pada kasus anak memerlukan navigasi hati-hati yang akan diperdalam kembali pada pembahasan etikolegal Buku Utama seri ini (Bagian 4, Dilema Etikolegal: Otonomi, Kerahasiaan, dan Pelindungan Data Pribadi).</w:t>
      </w:r>
    </w:p>
    <w:p>
      <w:pPr>
        <w:pStyle w:val="Normal"/>
        <w:pBdr>
          <w:left w:val="single" w:sz="24" w:space="8" w:color="2E6F6E"/>
        </w:pBdr>
        <w:shd w:val="clear" w:fill="E6F0EF"/>
        <w:spacing w:before="0" w:after="60"/>
        <w:ind w:left="200"/>
        <w:rPr/>
      </w:pPr>
      <w:r>
        <w:rPr>
          <w:rFonts w:eastAsia="Calibri" w:cs="Calibri"/>
          <w:b/>
          <w:bCs/>
          <w:color w:val="2E6F6E"/>
          <w:sz w:val="20"/>
          <w:szCs w:val="20"/>
        </w:rPr>
        <w:t>ILUSTRASI PENERAPAN</w:t>
      </w:r>
    </w:p>
    <w:p>
      <w:pPr>
        <w:pStyle w:val="Normal"/>
        <w:pBdr>
          <w:left w:val="single" w:sz="24" w:space="8" w:color="2E6F6E"/>
        </w:pBdr>
        <w:shd w:val="clear" w:fill="E6F0EF"/>
        <w:spacing w:lineRule="exact" w:line="276" w:before="0" w:after="200"/>
        <w:ind w:left="200"/>
        <w:rPr/>
      </w:pPr>
      <w:r>
        <w:rPr>
          <w:rFonts w:eastAsia="Calibri" w:cs="Calibri"/>
        </w:rPr>
        <w:t>Seorang Pasien dewasa memilih untuk belum melapor ke Unit PPA meskipun skrining menunjukkan risiko tinggi; keputusan ini dihormati sesuai prinsip nondirektif. Namun ketika diketahui anak perempuan Pasien berusia 10 tahun turut menjadi korban kekerasan fisik oleh pelaku yang sama, tenaga kesehatan wajib melaporkan kasus tersebut kepada pihak berwenang terlepas dari persetujuan siapa pun — sebuah perbedaan mendasar yang harus dijelaskan secara jujur kepada Pasien sejak awal.</w:t>
      </w:r>
    </w:p>
    <w:p>
      <w:pPr>
        <w:pStyle w:val="Heading3"/>
        <w:spacing w:before="320" w:after="160"/>
        <w:rPr/>
      </w:pPr>
      <w:bookmarkStart w:id="43" w:name="__RefHeading___Toc651_3416633461"/>
      <w:bookmarkEnd w:id="43"/>
      <w:r>
        <w:rPr/>
        <w:t>4.2.2 Prosedur Rujukan</w:t>
      </w:r>
    </w:p>
    <w:p>
      <w:pPr>
        <w:pStyle w:val="Normal"/>
        <w:spacing w:lineRule="exact" w:line="276" w:before="0" w:after="160"/>
        <w:rPr/>
      </w:pPr>
      <w:r>
        <w:rPr>
          <w:rFonts w:eastAsia="Calibri" w:cs="Calibri"/>
        </w:rPr>
        <w:t>Prosedur rujukan mencakup: penjelasan kepada Pasien mengenai apa yang akan terjadi setelah laporan dibuat (proses penyidikan, kemungkinan pemeriksaan berulang, jangka waktu proses hukum) agar ekspektasi realistis; koordinasi langsung antarpetugas (bukan sekadar memberi nomor kontak kepada Pasien) untuk mengurangi beban Pasien harus menjelaskan kembali situasinya dari awal; dan pendampingan berkelanjutan meskipun proses hukum telah berjalan, karena proses hukum yang panjang bukan alasan menghentikan pendampingan psikososial (lihat Bab 6).</w:t>
      </w:r>
    </w:p>
    <w:p>
      <w:pPr>
        <w:pStyle w:val="Normal"/>
        <w:pBdr>
          <w:left w:val="single" w:sz="24" w:space="8" w:color="2C3A64"/>
        </w:pBdr>
        <w:shd w:val="clear" w:fill="EAEDF4"/>
        <w:spacing w:before="0" w:after="60"/>
        <w:ind w:left="200"/>
        <w:rPr/>
      </w:pPr>
      <w:r>
        <w:rPr>
          <w:rFonts w:eastAsia="Calibri" w:cs="Calibri"/>
          <w:b/>
          <w:bCs/>
          <w:color w:val="2C3A64"/>
          <w:sz w:val="20"/>
          <w:szCs w:val="20"/>
        </w:rPr>
        <w:t>CATATAN KLINIS</w:t>
      </w:r>
    </w:p>
    <w:p>
      <w:pPr>
        <w:pStyle w:val="Normal"/>
        <w:pBdr>
          <w:left w:val="single" w:sz="24" w:space="8" w:color="2C3A64"/>
        </w:pBdr>
        <w:shd w:val="clear" w:fill="EAEDF4"/>
        <w:spacing w:lineRule="exact" w:line="276" w:before="0" w:after="200"/>
        <w:ind w:left="200"/>
        <w:rPr/>
      </w:pPr>
      <w:r>
        <w:rPr>
          <w:rFonts w:eastAsia="Calibri" w:cs="Calibri"/>
        </w:rPr>
        <w:t>Rujukan yang baik bukan sekadar memberi Pasien alamat kantor polisi, melainkan koordinasi aktif yang meminimalkan jumlah kali Pasien harus mengulang kisahnya kepada pihak berbeda — sebuah prinsip yang selaras dengan pendekatan trauma-informed pada Bab 3.</w:t>
      </w:r>
    </w:p>
    <w:p>
      <w:pPr>
        <w:pStyle w:val="Normal"/>
        <w:pBdr>
          <w:left w:val="single" w:sz="24" w:space="8" w:color="2E6F6E"/>
        </w:pBdr>
        <w:shd w:val="clear" w:fill="E6F0EF"/>
        <w:spacing w:before="0" w:after="60"/>
        <w:ind w:left="200"/>
        <w:rPr/>
      </w:pPr>
      <w:r>
        <w:rPr>
          <w:rFonts w:eastAsia="Calibri" w:cs="Calibri"/>
          <w:b/>
          <w:bCs/>
          <w:color w:val="2E6F6E"/>
          <w:sz w:val="20"/>
          <w:szCs w:val="20"/>
        </w:rPr>
        <w:t>ILUSTRASI PENERAPAN</w:t>
      </w:r>
    </w:p>
    <w:p>
      <w:pPr>
        <w:pStyle w:val="Normal"/>
        <w:pBdr>
          <w:left w:val="single" w:sz="24" w:space="8" w:color="2E6F6E"/>
        </w:pBdr>
        <w:shd w:val="clear" w:fill="E6F0EF"/>
        <w:spacing w:lineRule="exact" w:line="276" w:before="0" w:after="200"/>
        <w:ind w:left="200"/>
        <w:rPr/>
      </w:pPr>
      <w:r>
        <w:rPr>
          <w:rFonts w:eastAsia="Calibri" w:cs="Calibri"/>
        </w:rPr>
        <w:t>Sebelum merujuk Pasien ke Unit PPA, bidan menghubungi petugas PPA yang menjadi kontak tetap wilayahnya, menjelaskan garis besar kasus (dengan persetujuan Pasien), dan menyepakati jadwal kunjungan agar Pasien tidak perlu menunggu lama atau menceritakan ulang kejadian dari nol kepada petugas yang belum mengetahui konteksnya.</w:t>
      </w:r>
    </w:p>
    <w:p>
      <w:pPr>
        <w:pStyle w:val="Heading2"/>
        <w:spacing w:before="320" w:after="160"/>
        <w:rPr/>
      </w:pPr>
      <w:bookmarkStart w:id="44" w:name="__RefHeading___Toc653_3416633461"/>
      <w:bookmarkEnd w:id="44"/>
      <w:r>
        <w:rPr/>
        <w:t>4.3 Kerangka Kolaborasi Lintas Sektor</w:t>
      </w:r>
    </w:p>
    <w:p>
      <w:pPr>
        <w:pStyle w:val="Normal"/>
        <w:spacing w:lineRule="exact" w:line="276" w:before="0" w:after="160"/>
        <w:rPr/>
      </w:pPr>
      <w:r>
        <w:rPr>
          <w:rFonts w:eastAsia="Calibri" w:cs="Calibri"/>
          <w:i/>
          <w:iCs/>
          <w:color w:val="444444"/>
        </w:rPr>
        <w:t>Kolaborasi yang efektif jarang terjadi secara spontan — ia memerlukan struktur formal yang disepakati sebelum kasus darurat muncul, bukan diimprovisasi di tengah krisis.</w:t>
      </w:r>
    </w:p>
    <w:p>
      <w:pPr>
        <w:pStyle w:val="Normal"/>
        <w:spacing w:lineRule="exact" w:line="276" w:before="0" w:after="160"/>
        <w:rPr/>
      </w:pPr>
      <w:r>
        <w:rPr>
          <w:rFonts w:eastAsia="Calibri" w:cs="Calibri"/>
        </w:rPr>
        <w:t>Kolaborasi PPA-layanan kesehatan idealnya terstruktur melalui nota kesepahaman (MoU) tingkat kabupaten/kota yang mengatur alur rujukan dua arah, mekanisme koordinasi kasus kompleks (misalnya melalui forum Pusat Pelayanan Terpadu Pemberdayaan Perempuan dan Anak/P2TP2A di tingkat daerah), dan protokol komunikasi darurat untuk kasus berisiko tinggi (misalnya ancaman femisida yang terdeteksi saat skrining sebagaimana dibahas Bab 2). Pembahasan lebih rinci mengenai arsitektur kolaborasi lintas sektor — termasuk peran Dinas Sosial, organisasi masyarakat sipil, dan pembangunan jejaring rujukan regional — merupakan fokus utama buku MS-4 dalam seri ini; bab ini berfokus secara spesifik pada titik temu klinis-hukum yang relevan bagi Subspesialis Obginsos.</w:t>
      </w:r>
    </w:p>
    <w:p>
      <w:pPr>
        <w:pStyle w:val="Normal"/>
        <w:pBdr>
          <w:left w:val="single" w:sz="24" w:space="8" w:color="2E6F6E"/>
        </w:pBdr>
        <w:shd w:val="clear" w:fill="E6F0EF"/>
        <w:spacing w:before="0" w:after="60"/>
        <w:ind w:left="200"/>
        <w:rPr/>
      </w:pPr>
      <w:r>
        <w:rPr>
          <w:rFonts w:eastAsia="Calibri" w:cs="Calibri"/>
          <w:b/>
          <w:bCs/>
          <w:color w:val="2E6F6E"/>
          <w:sz w:val="20"/>
          <w:szCs w:val="20"/>
        </w:rPr>
        <w:t>ILUSTRASI PENERAPAN</w:t>
      </w:r>
    </w:p>
    <w:p>
      <w:pPr>
        <w:pStyle w:val="Normal"/>
        <w:pBdr>
          <w:left w:val="single" w:sz="24" w:space="8" w:color="2E6F6E"/>
        </w:pBdr>
        <w:shd w:val="clear" w:fill="E6F0EF"/>
        <w:spacing w:lineRule="exact" w:line="276" w:before="0" w:after="200"/>
        <w:ind w:left="200"/>
        <w:rPr/>
      </w:pPr>
      <w:r>
        <w:rPr>
          <w:rFonts w:eastAsia="Calibri" w:cs="Calibri"/>
        </w:rPr>
        <w:t>Sebuah kabupaten membentuk forum koordinasi bulanan antara Puskesmas, Unit PPA, dan P2TP2A yang membahas kasus-kasus kompleks secara anonim. Ketika sebuah kasus berisiko femisida tinggi muncul di luar jadwal rutin, protokol komunikasi darurat yang telah disepakati memungkinkan koordinasi respons dalam hitungan jam, bukan menunggu pertemuan bulanan berikutnya.</w:t>
      </w:r>
    </w:p>
    <w:p>
      <w:pPr>
        <w:pStyle w:val="Heading2"/>
        <w:spacing w:before="320" w:after="160"/>
        <w:rPr/>
      </w:pPr>
      <w:bookmarkStart w:id="45" w:name="__RefHeading___Toc655_3416633461"/>
      <w:bookmarkEnd w:id="45"/>
      <w:r>
        <w:rPr/>
        <w:t>4.4 Interaksi dengan Aparat Penegak Hukum di Luar Unit PPA</w:t>
      </w:r>
    </w:p>
    <w:p>
      <w:pPr>
        <w:pStyle w:val="Normal"/>
        <w:spacing w:lineRule="exact" w:line="276" w:before="0" w:after="160"/>
        <w:rPr/>
      </w:pPr>
      <w:r>
        <w:rPr>
          <w:rFonts w:eastAsia="Calibri" w:cs="Calibri"/>
          <w:i/>
          <w:iCs/>
          <w:color w:val="444444"/>
        </w:rPr>
        <w:t>Tidak semua interaksi dengan sistem hukum melalui Unit PPA — dan di sinilah batas kewenangan tenaga kesehatan paling sering diuji.</w:t>
      </w:r>
    </w:p>
    <w:p>
      <w:pPr>
        <w:pStyle w:val="Normal"/>
        <w:spacing w:lineRule="exact" w:line="276" w:before="0" w:after="160"/>
        <w:rPr/>
      </w:pPr>
      <w:r>
        <w:rPr>
          <w:rFonts w:eastAsia="Calibri" w:cs="Calibri"/>
        </w:rPr>
        <w:t>Selain Unit PPA, Subspesialis Obginsos dapat berinteraksi dengan aparat penegak hukum lain: penyidik yang meminta keterangan ahli terkait dokumentasi forensik (Bab 5), jaksa yang meminta klarifikasi rekam medis sebagai alat bukti, dan pengadilan yang memanggil tenaga kesehatan sebagai saksi ahli. Dalam seluruh interaksi ini, prinsip yang harus dipegang teguh adalah: tenaga kesehatan memberikan keterangan faktual berbasis temuan klinis dan pemeriksaan yang dilakukan, tanpa memberikan opini hukum mengenai kesalahan pidana — yang merupakan kewenangan eksklusif proses peradilan.</w:t>
      </w:r>
    </w:p>
    <w:p>
      <w:pPr>
        <w:pStyle w:val="Normal"/>
        <w:pBdr>
          <w:left w:val="single" w:sz="24" w:space="8" w:color="A9812F"/>
        </w:pBdr>
        <w:shd w:val="clear" w:fill="F7F0E1"/>
        <w:spacing w:before="0" w:after="60"/>
        <w:ind w:left="200"/>
        <w:rPr/>
      </w:pPr>
      <w:r>
        <w:rPr>
          <w:rFonts w:eastAsia="Calibri" w:cs="Calibri"/>
          <w:b/>
          <w:bCs/>
          <w:color w:val="A9812F"/>
          <w:sz w:val="20"/>
          <w:szCs w:val="20"/>
        </w:rPr>
        <w:t>DASAR HUKUM</w:t>
      </w:r>
    </w:p>
    <w:p>
      <w:pPr>
        <w:pStyle w:val="Normal"/>
        <w:pBdr>
          <w:left w:val="single" w:sz="24" w:space="8" w:color="A9812F"/>
        </w:pBdr>
        <w:shd w:val="clear" w:fill="F7F0E1"/>
        <w:spacing w:lineRule="exact" w:line="276" w:before="0" w:after="200"/>
        <w:ind w:left="200"/>
        <w:rPr/>
      </w:pPr>
      <w:r>
        <w:rPr>
          <w:rFonts w:eastAsia="Calibri" w:cs="Calibri"/>
        </w:rPr>
        <w:t>Kewajiban kerahasiaan medis, termasuk terhadap permintaan keterangan oleh aparat penegak hukum, tunduk pada ketentuan Undang-Undang Nomor 27 Tahun 2022 tentang Pelindungan Data Pribadi, yang mensyaratkan dasar hukum yang sah (misalnya permintaan resmi penyidik sesuai prosedur hukum acara pidana) sebelum data kesehatan Pasien dapat dibuka kepada pihak ketiga.</w:t>
      </w:r>
    </w:p>
    <w:p>
      <w:pPr>
        <w:pStyle w:val="Normal"/>
        <w:pBdr>
          <w:left w:val="single" w:sz="24" w:space="8" w:color="2E6F6E"/>
        </w:pBdr>
        <w:shd w:val="clear" w:fill="E6F0EF"/>
        <w:spacing w:before="0" w:after="60"/>
        <w:ind w:left="200"/>
        <w:rPr/>
      </w:pPr>
      <w:r>
        <w:rPr>
          <w:rFonts w:eastAsia="Calibri" w:cs="Calibri"/>
          <w:b/>
          <w:bCs/>
          <w:color w:val="2E6F6E"/>
          <w:sz w:val="20"/>
          <w:szCs w:val="20"/>
        </w:rPr>
        <w:t>ILUSTRASI PENERAPAN</w:t>
      </w:r>
    </w:p>
    <w:p>
      <w:pPr>
        <w:pStyle w:val="Normal"/>
        <w:pBdr>
          <w:left w:val="single" w:sz="24" w:space="8" w:color="2E6F6E"/>
        </w:pBdr>
        <w:shd w:val="clear" w:fill="E6F0EF"/>
        <w:spacing w:lineRule="exact" w:line="276" w:before="0" w:after="200"/>
        <w:ind w:left="200"/>
        <w:rPr/>
      </w:pPr>
      <w:r>
        <w:rPr>
          <w:rFonts w:eastAsia="Calibri" w:cs="Calibri"/>
        </w:rPr>
        <w:t>Seorang jaksa meminta dokter menyimpulkan apakah terdakwa "benar bersalah" berdasarkan rekam medis Pasien. Dokter menjelaskan bahwa keterangan yang dapat diberikan terbatas pada temuan klinis dan interpretasi medisnya — misalnya jenis dan pola cedera — sementara kesimpulan bersalah-tidaknya adalah kewenangan majelis hakim berdasarkan keseluruhan alat bukti, bukan opini tenaga kesehatan.</w:t>
      </w:r>
    </w:p>
    <w:p>
      <w:pPr>
        <w:pStyle w:val="Heading2"/>
        <w:spacing w:before="320" w:after="160"/>
        <w:rPr/>
      </w:pPr>
      <w:bookmarkStart w:id="46" w:name="__RefHeading___Toc657_3416633461"/>
      <w:bookmarkEnd w:id="46"/>
      <w:r>
        <w:rPr/>
        <w:t>4.5 Mengelola Ambivalensi dan Pencabutan Laporan Pasien</w:t>
      </w:r>
    </w:p>
    <w:p>
      <w:pPr>
        <w:pStyle w:val="Normal"/>
        <w:spacing w:lineRule="exact" w:line="276" w:before="0" w:after="160"/>
        <w:rPr/>
      </w:pPr>
      <w:r>
        <w:rPr>
          <w:rFonts w:eastAsia="Calibri" w:cs="Calibri"/>
          <w:i/>
          <w:iCs/>
          <w:color w:val="444444"/>
        </w:rPr>
        <w:t>Salah satu momen paling menguji kesabaran dan pemahaman tenaga kesehatan adalah ketika Pasien yang sebelumnya melapor tiba-tiba ingin menarik kembali laporannya — sebuah momen yang mudah disalahpahami sebagai kegagalan, padahal sebenarnya bagian yang dapat diprediksi dari dinamika KBG.</w:t>
      </w:r>
    </w:p>
    <w:p>
      <w:pPr>
        <w:pStyle w:val="Normal"/>
        <w:spacing w:lineRule="exact" w:line="276" w:before="0" w:after="160"/>
        <w:rPr/>
      </w:pPr>
      <w:r>
        <w:rPr>
          <w:rFonts w:eastAsia="Calibri" w:cs="Calibri"/>
        </w:rPr>
        <w:t>Fenomena umum dalam praktik lapangan adalah Pasien yang mencabut laporan atau menolak melanjutkan proses hukum setelah sebelumnya melapor — sering kali akibat tekanan pelaku, ketergantungan ekonomi, atau tekanan keluarga besar/komunitas. Tenaga kesehatan perlu memahami fenomena ini sebagai bagian dari dinamika kontrol koersif (Bab 1), bukan sebagai indikasi bahwa laporan awal tidak valid. Respons yang tepat adalah tetap menyediakan dukungan psikososial tanpa menghakimi keputusan Pasien, sambil tetap menjaga pintu terbuka bila Pasien di kemudian hari memilih melanjutkan proses hukum — dalam batas waktu yang diizinkan hukum acara pidana yang berlaku.</w:t>
      </w:r>
    </w:p>
    <w:p>
      <w:pPr>
        <w:pStyle w:val="Normal"/>
        <w:pBdr>
          <w:left w:val="single" w:sz="24" w:space="8" w:color="2E6F6E"/>
        </w:pBdr>
        <w:shd w:val="clear" w:fill="E6F0EF"/>
        <w:spacing w:before="0" w:after="60"/>
        <w:ind w:left="200"/>
        <w:rPr/>
      </w:pPr>
      <w:r>
        <w:rPr>
          <w:rFonts w:eastAsia="Calibri" w:cs="Calibri"/>
          <w:b/>
          <w:bCs/>
          <w:color w:val="2E6F6E"/>
          <w:sz w:val="20"/>
          <w:szCs w:val="20"/>
        </w:rPr>
        <w:t>ILUSTRASI PENERAPAN</w:t>
      </w:r>
    </w:p>
    <w:p>
      <w:pPr>
        <w:pStyle w:val="Normal"/>
        <w:pBdr>
          <w:left w:val="single" w:sz="24" w:space="8" w:color="2E6F6E"/>
        </w:pBdr>
        <w:shd w:val="clear" w:fill="E6F0EF"/>
        <w:spacing w:lineRule="exact" w:line="276" w:before="0" w:after="200"/>
        <w:ind w:left="200"/>
        <w:rPr/>
      </w:pPr>
      <w:r>
        <w:rPr>
          <w:rFonts w:eastAsia="Calibri" w:cs="Calibri"/>
        </w:rPr>
        <w:t>Tiga bulan setelah melapor, seorang Pasien menyatakan ingin mencabut laporannya karena tekanan keluarga besar suaminya. Alih-alih menunjukkan kekecewaan atau mencoba membujuknya untuk tetap melanjutkan, bidan menjawab, "Saya mendukung apa pun keputusan Anda. Saya tetap di sini jika Anda membutuhkan sesuatu, kapan pun itu" — respons yang menjaga relasi kepercayaan tanpa menghakimi.</w:t>
      </w:r>
    </w:p>
    <w:p>
      <w:pPr>
        <w:pStyle w:val="Heading2"/>
        <w:spacing w:before="320" w:after="160"/>
        <w:rPr/>
      </w:pPr>
      <w:bookmarkStart w:id="47" w:name="__RefHeading___Toc659_3416633461"/>
      <w:bookmarkEnd w:id="47"/>
      <w:r>
        <w:rPr/>
        <w:t>4.6 Peran Subspesialis Obginsos sebagai Saksi Ahli</w:t>
      </w:r>
    </w:p>
    <w:p>
      <w:pPr>
        <w:pStyle w:val="Normal"/>
        <w:spacing w:lineRule="exact" w:line="276" w:before="0" w:after="160"/>
        <w:rPr/>
      </w:pPr>
      <w:r>
        <w:rPr>
          <w:rFonts w:eastAsia="Calibri" w:cs="Calibri"/>
          <w:i/>
          <w:iCs/>
          <w:color w:val="444444"/>
        </w:rPr>
        <w:t>Ketika dipanggil ke ruang sidang, batas antara "memberi keterangan medis" dan "menyimpulkan siapa yang bersalah" bisa terasa tipis di bawah tekanan pertanyaan pengacara — kejelasan tentang batas ini harus disiapkan jauh sebelum hari persidangan tiba.</w:t>
      </w:r>
    </w:p>
    <w:p>
      <w:pPr>
        <w:pStyle w:val="Normal"/>
        <w:spacing w:lineRule="exact" w:line="276" w:before="0" w:after="160"/>
        <w:rPr/>
      </w:pPr>
      <w:r>
        <w:rPr>
          <w:rFonts w:eastAsia="Calibri" w:cs="Calibri"/>
        </w:rPr>
        <w:t>Ketika diminta memberikan keterangan ahli di persidangan, Subspesialis Obginsos wajib membatasi keterangan pada domain kompetensinya: temuan pemeriksaan fisik, interpretasi medis atas cedera atau kondisi klinis, dan penjelasan pola trauma psikologis yang konsisten dengan literatur klinis. Kesimpulan mengenai kredibilitas korban atau terdakwa, maupun kesimpulan hukum atas terjadi-tidaknya tindak pidana, berada di luar kewenangan dan kompetensi tenaga kesehatan.</w:t>
      </w:r>
    </w:p>
    <w:p>
      <w:pPr>
        <w:pStyle w:val="Normal"/>
        <w:pBdr>
          <w:left w:val="single" w:sz="24" w:space="8" w:color="2E6F6E"/>
        </w:pBdr>
        <w:shd w:val="clear" w:fill="E6F0EF"/>
        <w:spacing w:before="0" w:after="60"/>
        <w:ind w:left="200"/>
        <w:rPr/>
      </w:pPr>
      <w:r>
        <w:rPr>
          <w:rFonts w:eastAsia="Calibri" w:cs="Calibri"/>
          <w:b/>
          <w:bCs/>
          <w:color w:val="2E6F6E"/>
          <w:sz w:val="20"/>
          <w:szCs w:val="20"/>
        </w:rPr>
        <w:t>ILUSTRASI PENERAPAN</w:t>
      </w:r>
    </w:p>
    <w:p>
      <w:pPr>
        <w:pStyle w:val="Normal"/>
        <w:pBdr>
          <w:left w:val="single" w:sz="24" w:space="8" w:color="2E6F6E"/>
        </w:pBdr>
        <w:shd w:val="clear" w:fill="E6F0EF"/>
        <w:spacing w:lineRule="exact" w:line="276" w:before="0" w:after="200"/>
        <w:ind w:left="200"/>
        <w:rPr/>
      </w:pPr>
      <w:r>
        <w:rPr>
          <w:rFonts w:eastAsia="Calibri" w:cs="Calibri"/>
        </w:rPr>
        <w:t>Di persidangan, pengacara terdakwa mendesak, "Menurut Dokter, apakah korban berkata jujur?" Dokter menjawab tenang, "Saya tidak memiliki kompetensi untuk menilai kejujuran seseorang. Yang dapat saya sampaikan adalah temuan pemeriksaan fisik menunjukkan pola cedera yang konsisten dengan mekanisme yang dijelaskan" — menjaga batas kompetensi meski di bawah tekanan pertanyaan yang mengarahkan.</w:t>
      </w:r>
    </w:p>
    <w:p>
      <w:pPr>
        <w:pStyle w:val="Heading3"/>
        <w:spacing w:before="320" w:after="160"/>
        <w:rPr/>
      </w:pPr>
      <w:bookmarkStart w:id="48" w:name="__RefHeading___Toc661_3416633461"/>
      <w:bookmarkEnd w:id="48"/>
      <w:r>
        <w:rPr/>
        <w:t>Ringkasan Poin Kunci</w:t>
      </w:r>
    </w:p>
    <w:p>
      <w:pPr>
        <w:pStyle w:val="Normal"/>
        <w:spacing w:lineRule="exact" w:line="276" w:before="0" w:after="100"/>
        <w:ind w:hanging="260" w:left="400"/>
        <w:rPr/>
      </w:pPr>
      <w:r>
        <w:rPr>
          <w:rFonts w:eastAsia="Calibri" w:cs="Calibri"/>
        </w:rPr>
        <w:t xml:space="preserve">• </w:t>
      </w:r>
      <w:r>
        <w:rPr>
          <w:rFonts w:eastAsia="Calibri" w:cs="Calibri"/>
        </w:rPr>
        <w:t>Unit PPA adalah simpul utama sistem penegakan hukum untuk kasus KBG, dengan mandat yang berbeda dari reserse kriminal umum.</w:t>
      </w:r>
    </w:p>
    <w:p>
      <w:pPr>
        <w:pStyle w:val="Normal"/>
        <w:spacing w:lineRule="exact" w:line="276" w:before="0" w:after="100"/>
        <w:ind w:hanging="260" w:left="400"/>
        <w:rPr/>
      </w:pPr>
      <w:r>
        <w:rPr>
          <w:rFonts w:eastAsia="Calibri" w:cs="Calibri"/>
        </w:rPr>
        <w:t xml:space="preserve">• </w:t>
      </w:r>
      <w:r>
        <w:rPr>
          <w:rFonts w:eastAsia="Calibri" w:cs="Calibri"/>
        </w:rPr>
        <w:t>Rujukan ke Unit PPA pada Pasien dewasa berbasis pilihan Pasien; kasus anak tunduk pada kewajiban pelaporan yang berbeda.</w:t>
      </w:r>
    </w:p>
    <w:p>
      <w:pPr>
        <w:pStyle w:val="Normal"/>
        <w:spacing w:lineRule="exact" w:line="276" w:before="0" w:after="100"/>
        <w:ind w:hanging="260" w:left="400"/>
        <w:rPr/>
      </w:pPr>
      <w:r>
        <w:rPr>
          <w:rFonts w:eastAsia="Calibri" w:cs="Calibri"/>
        </w:rPr>
        <w:t xml:space="preserve">• </w:t>
      </w:r>
      <w:r>
        <w:rPr>
          <w:rFonts w:eastAsia="Calibri" w:cs="Calibri"/>
        </w:rPr>
        <w:t>Kolaborasi lintas sektor idealnya terstruktur melalui MoU dan forum koordinasi tingkat daerah seperti P2TP2A.</w:t>
      </w:r>
    </w:p>
    <w:p>
      <w:pPr>
        <w:pStyle w:val="Normal"/>
        <w:spacing w:lineRule="exact" w:line="276" w:before="0" w:after="100"/>
        <w:ind w:hanging="260" w:left="400"/>
        <w:rPr/>
      </w:pPr>
      <w:r>
        <w:rPr>
          <w:rFonts w:eastAsia="Calibri" w:cs="Calibri"/>
        </w:rPr>
        <w:t xml:space="preserve">• </w:t>
      </w:r>
      <w:r>
        <w:rPr>
          <w:rFonts w:eastAsia="Calibri" w:cs="Calibri"/>
        </w:rPr>
        <w:t>Tenaga kesehatan memberikan keterangan faktual berbasis temuan klinis, bukan opini hukum atas kesalahan pidana.</w:t>
      </w:r>
    </w:p>
    <w:p>
      <w:pPr>
        <w:pStyle w:val="Normal"/>
        <w:spacing w:lineRule="exact" w:line="276" w:before="0" w:after="100"/>
        <w:ind w:hanging="260" w:left="400"/>
        <w:rPr/>
      </w:pPr>
      <w:r>
        <w:rPr>
          <w:rFonts w:eastAsia="Calibri" w:cs="Calibri"/>
        </w:rPr>
        <w:t xml:space="preserve">• </w:t>
      </w:r>
      <w:r>
        <w:rPr>
          <w:rFonts w:eastAsia="Calibri" w:cs="Calibri"/>
        </w:rPr>
        <w:t>Pencabutan laporan oleh Pasien adalah bagian dari dinamika kontrol koersif, bukan indikasi laporan tidak valid.</w:t>
      </w:r>
    </w:p>
    <w:p>
      <w:pPr>
        <w:pStyle w:val="Heading3"/>
        <w:spacing w:before="320" w:after="160"/>
        <w:rPr/>
      </w:pPr>
      <w:bookmarkStart w:id="49" w:name="__RefHeading___Toc663_3416633461"/>
      <w:bookmarkEnd w:id="49"/>
      <w:r>
        <w:rPr/>
        <w:t>Vignette</w:t>
      </w:r>
    </w:p>
    <w:p>
      <w:pPr>
        <w:pStyle w:val="Normal"/>
        <w:spacing w:lineRule="exact" w:line="276" w:before="0" w:after="160"/>
        <w:rPr/>
      </w:pPr>
      <w:r>
        <w:rPr>
          <w:rFonts w:eastAsia="Calibri" w:cs="Calibri"/>
        </w:rPr>
        <w:t>Seorang Pasien melaporkan kasus KDRT ke Unit PPA dengan didampingi bidan Puskesmas yang telah dilatih. Tiga bulan kemudian, Pasien menyatakan ingin mencabut laporan karena tekanan dari keluarga besar suami dan kekhawatiran kehilangan sumber nafkah. Bidan, dengan supervisi Subspesialis Obginsos, memberikan dukungan tanpa menghakimi keputusan tersebut, memastikan Pasien tetap memiliki akses informasi keselamatan, dan mencatat perkembangan kasus untuk keperluan pendampingan lanjutan (Bab 6).</w:t>
      </w:r>
    </w:p>
    <w:p>
      <w:pPr>
        <w:pStyle w:val="Heading3"/>
        <w:spacing w:before="320" w:after="160"/>
        <w:rPr/>
      </w:pPr>
      <w:bookmarkStart w:id="50" w:name="__RefHeading___Toc665_3416633461"/>
      <w:bookmarkEnd w:id="50"/>
      <w:r>
        <w:rPr/>
        <w:t>Pertanyaan Refleksi</w:t>
      </w:r>
    </w:p>
    <w:p>
      <w:pPr>
        <w:pStyle w:val="Normal"/>
        <w:spacing w:lineRule="exact" w:line="276" w:before="0" w:after="100"/>
        <w:ind w:hanging="260" w:left="400"/>
        <w:rPr/>
      </w:pPr>
      <w:r>
        <w:rPr>
          <w:rFonts w:eastAsia="Calibri" w:cs="Calibri"/>
        </w:rPr>
        <w:t>1. Bagaimana Anda akan menjelaskan kepada Pasien mengenai perbedaan antara mendampingi proses pelaporan ke Unit PPA dan mengambil alih keputusan Pasien untuk melapor?</w:t>
      </w:r>
    </w:p>
    <w:p>
      <w:pPr>
        <w:pStyle w:val="Normal"/>
        <w:spacing w:lineRule="exact" w:line="276" w:before="0" w:after="100"/>
        <w:ind w:hanging="260" w:left="400"/>
        <w:rPr/>
      </w:pPr>
      <w:r>
        <w:rPr>
          <w:rFonts w:eastAsia="Calibri" w:cs="Calibri"/>
        </w:rPr>
        <w:t>2. Dalam situasi apa kewajiban pelaporan hukum dapat bertentangan dengan prinsip otonomi Pasien, dan bagaimana Anda akan menavigasi ketegangan tersebut secara etis?</w:t>
      </w:r>
    </w:p>
    <w:p>
      <w:pPr>
        <w:pStyle w:val="Normal"/>
        <w:rPr/>
      </w:pPr>
      <w:r>
        <w:rPr/>
      </w:r>
      <w:r>
        <w:br w:type="page"/>
      </w:r>
    </w:p>
    <w:p>
      <w:pPr>
        <w:pStyle w:val="Heading1"/>
        <w:spacing w:before="0" w:after="160"/>
        <w:rPr/>
      </w:pPr>
      <w:bookmarkStart w:id="51" w:name="__RefHeading___Toc667_3416633461"/>
      <w:bookmarkEnd w:id="51"/>
      <w:r>
        <w:rPr/>
        <w:t>Bab 5 — Dokumentasi dan Visum et Repertum: Prosedur dan Batasan</w:t>
      </w:r>
    </w:p>
    <w:p>
      <w:pPr>
        <w:pStyle w:val="Heading2"/>
        <w:spacing w:before="320" w:after="160"/>
        <w:rPr/>
      </w:pPr>
      <w:bookmarkStart w:id="52" w:name="__RefHeading___Toc669_3416633461"/>
      <w:bookmarkEnd w:id="52"/>
      <w:r>
        <w:rPr/>
        <w:t>5.1 Fungsi Ganda Dokumentasi Klinis pada Kasus KBG</w:t>
      </w:r>
    </w:p>
    <w:p>
      <w:pPr>
        <w:pStyle w:val="Normal"/>
        <w:spacing w:lineRule="exact" w:line="276" w:before="0" w:after="160"/>
        <w:rPr/>
      </w:pPr>
      <w:r>
        <w:rPr>
          <w:rFonts w:eastAsia="Calibri" w:cs="Calibri"/>
          <w:i/>
          <w:iCs/>
          <w:color w:val="444444"/>
        </w:rPr>
        <w:t>Satu paragraf catatan rekam medis yang ditulis terburu-buru hari ini bisa menjadi satu-satunya bukti yang tersedia bertahun-tahun kemudian di ruang sidang. Menyadari beban ganda ini sejak awal mengubah cara dokumentasi ditulis.</w:t>
      </w:r>
    </w:p>
    <w:p>
      <w:pPr>
        <w:pStyle w:val="Normal"/>
        <w:spacing w:lineRule="exact" w:line="276" w:before="0" w:after="160"/>
        <w:rPr/>
      </w:pPr>
      <w:r>
        <w:rPr>
          <w:rFonts w:eastAsia="Calibri" w:cs="Calibri"/>
        </w:rPr>
        <w:t>Dokumentasi klinis pada kasus KBG memiliki fungsi ganda yang harus dipahami secara eksplisit oleh Subspesialis Obginsos: fungsi klinis (kesinambungan asuhan, dasar rencana tata laksana) dan fungsi medikolegal (sebagai alat bukti potensial dalam proses hukum). Kegagalan memahami fungsi ganda ini berisiko menghasilkan dokumentasi yang memadai secara klinis namun tidak memenuhi standar sebagai alat bukti, atau sebaliknya, dokumentasi yang berlebihan mengarah pada peran investigatif yang bukan kewenangan tenaga kesehatan (lihat Bab 4).</w:t>
      </w:r>
    </w:p>
    <w:p>
      <w:pPr>
        <w:pStyle w:val="Normal"/>
        <w:spacing w:lineRule="exact" w:line="276" w:before="0" w:after="160"/>
        <w:rPr/>
      </w:pPr>
      <w:r>
        <w:rPr>
          <w:rFonts w:eastAsia="Calibri" w:cs="Calibri"/>
        </w:rPr>
        <w:t>Dokumen 2 (SPO Pelayanan Obginsos) BAB VI mengatur standar dokumentasi dan rekam medis di lingkungan Rumah Sakit; bab ini mengadaptasi prinsip yang sama untuk konteks layanan berbasis masyarakat, dengan penekanan pada Formulir Dokumentasi Forensik Dasar Kasus Kekerasan (F6) sebagai rujukan format minimal yang harus tersedia di seluruh titik layanan yang berpotensi menemui kasus KBG.</w:t>
      </w:r>
    </w:p>
    <w:p>
      <w:pPr>
        <w:pStyle w:val="Normal"/>
        <w:pBdr>
          <w:left w:val="single" w:sz="24" w:space="8" w:color="2E6F6E"/>
        </w:pBdr>
        <w:shd w:val="clear" w:fill="E6F0EF"/>
        <w:spacing w:before="0" w:after="60"/>
        <w:ind w:left="200"/>
        <w:rPr/>
      </w:pPr>
      <w:r>
        <w:rPr>
          <w:rFonts w:eastAsia="Calibri" w:cs="Calibri"/>
          <w:b/>
          <w:bCs/>
          <w:color w:val="2E6F6E"/>
          <w:sz w:val="20"/>
          <w:szCs w:val="20"/>
        </w:rPr>
        <w:t>ILUSTRASI PENERAPAN</w:t>
      </w:r>
    </w:p>
    <w:p>
      <w:pPr>
        <w:pStyle w:val="Normal"/>
        <w:pBdr>
          <w:left w:val="single" w:sz="24" w:space="8" w:color="2E6F6E"/>
        </w:pBdr>
        <w:shd w:val="clear" w:fill="E6F0EF"/>
        <w:spacing w:lineRule="exact" w:line="276" w:before="0" w:after="200"/>
        <w:ind w:left="200"/>
        <w:rPr/>
      </w:pPr>
      <w:r>
        <w:rPr>
          <w:rFonts w:eastAsia="Calibri" w:cs="Calibri"/>
        </w:rPr>
        <w:t>Dua tahun setelah kunjungan awal, seorang Pasien akhirnya memutuskan melapor secara resmi. Satu-satunya catatan yang tersisa dari kunjungan awal adalah rekam medis Puskesmas yang menyebut "nyeri akibat trauma" tanpa deskripsi lokasi, ukuran, atau waktu kejadian — catatan yang secara klinis "cukup" saat itu, namun nyaris tidak berguna sebagai informasi pendukung bertahun-tahun kemudian.</w:t>
      </w:r>
    </w:p>
    <w:p>
      <w:pPr>
        <w:pStyle w:val="Heading2"/>
        <w:spacing w:before="320" w:after="160"/>
        <w:rPr/>
      </w:pPr>
      <w:bookmarkStart w:id="53" w:name="__RefHeading___Toc671_3416633461"/>
      <w:bookmarkEnd w:id="53"/>
      <w:r>
        <w:rPr/>
        <w:t>5.2 Prinsip Dokumentasi Forensik Dasar</w:t>
      </w:r>
    </w:p>
    <w:p>
      <w:pPr>
        <w:pStyle w:val="Normal"/>
        <w:spacing w:lineRule="exact" w:line="276" w:before="0" w:after="160"/>
        <w:rPr/>
      </w:pPr>
      <w:r>
        <w:rPr>
          <w:rFonts w:eastAsia="Calibri" w:cs="Calibri"/>
          <w:i/>
          <w:iCs/>
          <w:color w:val="444444"/>
        </w:rPr>
        <w:t>Menulis catatan yang berguna secara hukum bukan soal menulis lebih banyak, melainkan menulis dengan disiplin tertentu — membedakan apa yang benar-benar diamati dari apa yang disimpulkan atau didengar.</w:t>
      </w:r>
    </w:p>
    <w:p>
      <w:pPr>
        <w:pStyle w:val="Heading3"/>
        <w:spacing w:before="320" w:after="160"/>
        <w:rPr/>
      </w:pPr>
      <w:bookmarkStart w:id="54" w:name="__RefHeading___Toc673_3416633461"/>
      <w:bookmarkEnd w:id="54"/>
      <w:r>
        <w:rPr/>
        <w:t>5.2.1 Objektivitas dan Deskripsi Non-Interpretatif</w:t>
      </w:r>
    </w:p>
    <w:p>
      <w:pPr>
        <w:pStyle w:val="Normal"/>
        <w:spacing w:lineRule="exact" w:line="276" w:before="0" w:after="160"/>
        <w:rPr/>
      </w:pPr>
      <w:r>
        <w:rPr>
          <w:rFonts w:eastAsia="Calibri" w:cs="Calibri"/>
        </w:rPr>
        <w:t>Dokumentasi forensik dasar harus bersifat deskriptif, bukan interpretatif atau menyimpulkan mekanisme kejadian melampaui temuan objektif. Misalnya, mendeskripsikan "luka lecet ukuran 2x1 cm pada lengan atas kiri, tepi tidak rata, warna kemerahan" adalah dokumentasi yang tepat; menyimpulkan "luka akibat dicubit oleh pasangan" melampaui kewenangan tenaga kesehatan kecuali temuan tersebut secara medis benar-benar konsisten secara spesifik dengan mekanisme yang dijelaskan Pasien — dan bahkan dalam hal ini, kesimpulan mekanisme sebaiknya dirumuskan sebagai "konsisten dengan" alih-alih "disebabkan oleh", mengingat keterbatasan diagnostik forensik dari temuan visual semata.</w:t>
      </w:r>
    </w:p>
    <w:p>
      <w:pPr>
        <w:pStyle w:val="Normal"/>
        <w:pBdr>
          <w:left w:val="single" w:sz="24" w:space="8" w:color="2E6F6E"/>
        </w:pBdr>
        <w:shd w:val="clear" w:fill="E6F0EF"/>
        <w:spacing w:before="0" w:after="60"/>
        <w:ind w:left="200"/>
        <w:rPr/>
      </w:pPr>
      <w:r>
        <w:rPr>
          <w:rFonts w:eastAsia="Calibri" w:cs="Calibri"/>
          <w:b/>
          <w:bCs/>
          <w:color w:val="2E6F6E"/>
          <w:sz w:val="20"/>
          <w:szCs w:val="20"/>
        </w:rPr>
        <w:t>ILUSTRASI PENERAPAN</w:t>
      </w:r>
    </w:p>
    <w:p>
      <w:pPr>
        <w:pStyle w:val="Normal"/>
        <w:pBdr>
          <w:left w:val="single" w:sz="24" w:space="8" w:color="2E6F6E"/>
        </w:pBdr>
        <w:shd w:val="clear" w:fill="E6F0EF"/>
        <w:spacing w:lineRule="exact" w:line="276" w:before="0" w:after="200"/>
        <w:ind w:left="200"/>
        <w:rPr/>
      </w:pPr>
      <w:r>
        <w:rPr>
          <w:rFonts w:eastAsia="Calibri" w:cs="Calibri"/>
        </w:rPr>
        <w:t>Seorang perawat baru menulis "Pasien dianiaya suaminya dengan sabuk" berdasarkan cerita Pasien. Supervisor mengoreksi catatan tersebut menjadi: "Pasien menyatakan dipukul suaminya menggunakan sabuk (kutipan langsung Pasien). Ditemukan luka memar linear multipel warna ungu-kebiruan sepanjang ±15 cm pada punggung, konsisten dengan pukulan benda memanjang" — memisahkan secara jelas keterangan Pasien dari temuan objektif pemeriksa.</w:t>
      </w:r>
    </w:p>
    <w:p>
      <w:pPr>
        <w:pStyle w:val="Heading3"/>
        <w:spacing w:before="320" w:after="160"/>
        <w:rPr/>
      </w:pPr>
      <w:bookmarkStart w:id="55" w:name="__RefHeading___Toc675_3416633461"/>
      <w:bookmarkEnd w:id="55"/>
      <w:r>
        <w:rPr/>
        <w:t>5.2.2 Dokumentasi Verbatim Keterangan Pasien</w:t>
      </w:r>
    </w:p>
    <w:p>
      <w:pPr>
        <w:pStyle w:val="Normal"/>
        <w:spacing w:lineRule="exact" w:line="276" w:before="0" w:after="160"/>
        <w:rPr/>
      </w:pPr>
      <w:r>
        <w:rPr>
          <w:rFonts w:eastAsia="Calibri" w:cs="Calibri"/>
        </w:rPr>
        <w:t>Keterangan Pasien mengenai kejadian dicatat sedapat mungkin menggunakan kata-kata Pasien sendiri (tanda kutip), dengan mencantumkan waktu, tempat, dan pihak yang terlibat sebagaimana disampaikan Pasien — tanpa parafrase yang dapat mengubah makna atau menambahkan interpretasi petugas.</w:t>
      </w:r>
    </w:p>
    <w:p>
      <w:pPr>
        <w:pStyle w:val="Normal"/>
        <w:pBdr>
          <w:left w:val="single" w:sz="24" w:space="8" w:color="2E6F6E"/>
        </w:pBdr>
        <w:shd w:val="clear" w:fill="E6F0EF"/>
        <w:spacing w:before="0" w:after="60"/>
        <w:ind w:left="200"/>
        <w:rPr/>
      </w:pPr>
      <w:r>
        <w:rPr>
          <w:rFonts w:eastAsia="Calibri" w:cs="Calibri"/>
          <w:b/>
          <w:bCs/>
          <w:color w:val="2E6F6E"/>
          <w:sz w:val="20"/>
          <w:szCs w:val="20"/>
        </w:rPr>
        <w:t>ILUSTRASI PENERAPAN</w:t>
      </w:r>
    </w:p>
    <w:p>
      <w:pPr>
        <w:pStyle w:val="Normal"/>
        <w:pBdr>
          <w:left w:val="single" w:sz="24" w:space="8" w:color="2E6F6E"/>
        </w:pBdr>
        <w:shd w:val="clear" w:fill="E6F0EF"/>
        <w:spacing w:lineRule="exact" w:line="276" w:before="0" w:after="200"/>
        <w:ind w:left="200"/>
        <w:rPr/>
      </w:pPr>
      <w:r>
        <w:rPr>
          <w:rFonts w:eastAsia="Calibri" w:cs="Calibri"/>
        </w:rPr>
        <w:t>Alih-alih menulis "Pasien mengaku dipukul kemarin malam," petugas mencatat: "Pasien menyatakan, 'Dia mendorong saya ke dinding kemarin malam sekitar jam 9, waktu saya pulang telat dari warung.'" Kutipan verbatim ini memuat detail waktu dan konteks yang mungkin penting secara hukum, namun akan hilang bila diparafrasekan secara ringkas.</w:t>
      </w:r>
    </w:p>
    <w:p>
      <w:pPr>
        <w:pStyle w:val="Heading3"/>
        <w:spacing w:before="320" w:after="160"/>
        <w:rPr/>
      </w:pPr>
      <w:bookmarkStart w:id="56" w:name="__RefHeading___Toc677_3416633461"/>
      <w:bookmarkEnd w:id="56"/>
      <w:r>
        <w:rPr/>
        <w:t>5.2.3 Dokumentasi Fotografis</w:t>
      </w:r>
    </w:p>
    <w:p>
      <w:pPr>
        <w:pStyle w:val="Normal"/>
        <w:spacing w:lineRule="exact" w:line="276" w:before="0" w:after="160"/>
        <w:rPr/>
      </w:pPr>
      <w:r>
        <w:rPr>
          <w:rFonts w:eastAsia="Calibri" w:cs="Calibri"/>
        </w:rPr>
        <w:t>Bila fasilitas memungkinkan dan Pasien memberikan persetujuan (informed consent eksplisit, dijelaskan tujuan penggunaannya), dokumentasi fotografis cedera dilakukan dengan penggaris skala pembanding, pencahayaan memadai, dan penanda identitas (nomor rekam medis, tanggal) tanpa menampilkan wajah Pasien kecuali cedera berada di area wajah dan relevan secara klinis. Foto disimpan dalam rekam medis dengan kontrol akses yang sesuai dengan Undang-Undang Nomor 27 Tahun 2022 tentang Pelindungan Data Pribadi.</w:t>
      </w:r>
    </w:p>
    <w:p>
      <w:pPr>
        <w:pStyle w:val="Normal"/>
        <w:pBdr>
          <w:left w:val="single" w:sz="24" w:space="8" w:color="A9812F"/>
        </w:pBdr>
        <w:shd w:val="clear" w:fill="F7F0E1"/>
        <w:spacing w:before="0" w:after="60"/>
        <w:ind w:left="200"/>
        <w:rPr/>
      </w:pPr>
      <w:r>
        <w:rPr>
          <w:rFonts w:eastAsia="Calibri" w:cs="Calibri"/>
          <w:b/>
          <w:bCs/>
          <w:color w:val="A9812F"/>
          <w:sz w:val="20"/>
          <w:szCs w:val="20"/>
        </w:rPr>
        <w:t>DASAR HUKUM</w:t>
      </w:r>
    </w:p>
    <w:p>
      <w:pPr>
        <w:pStyle w:val="Normal"/>
        <w:pBdr>
          <w:left w:val="single" w:sz="24" w:space="8" w:color="A9812F"/>
        </w:pBdr>
        <w:shd w:val="clear" w:fill="F7F0E1"/>
        <w:spacing w:lineRule="exact" w:line="276" w:before="0" w:after="200"/>
        <w:ind w:left="200"/>
        <w:rPr/>
      </w:pPr>
      <w:r>
        <w:rPr>
          <w:rFonts w:eastAsia="Calibri" w:cs="Calibri"/>
        </w:rPr>
        <w:t>Pengambilan, penyimpanan, dan pengungkapan dokumentasi fotografis maupun rekam medis Pasien tunduk pada prinsip perlindungan data pribadi sesuai UU 27/2022, yang mensyaratkan persetujuan Pasien serta pembatasan akses hanya kepada pihak yang berwenang secara hukum.</w:t>
      </w:r>
    </w:p>
    <w:p>
      <w:pPr>
        <w:pStyle w:val="Normal"/>
        <w:pBdr>
          <w:left w:val="single" w:sz="24" w:space="8" w:color="2E6F6E"/>
        </w:pBdr>
        <w:shd w:val="clear" w:fill="E6F0EF"/>
        <w:spacing w:before="0" w:after="60"/>
        <w:ind w:left="200"/>
        <w:rPr/>
      </w:pPr>
      <w:r>
        <w:rPr>
          <w:rFonts w:eastAsia="Calibri" w:cs="Calibri"/>
          <w:b/>
          <w:bCs/>
          <w:color w:val="2E6F6E"/>
          <w:sz w:val="20"/>
          <w:szCs w:val="20"/>
        </w:rPr>
        <w:t>ILUSTRASI PENERAPAN</w:t>
      </w:r>
    </w:p>
    <w:p>
      <w:pPr>
        <w:pStyle w:val="Normal"/>
        <w:pBdr>
          <w:left w:val="single" w:sz="24" w:space="8" w:color="2E6F6E"/>
        </w:pBdr>
        <w:shd w:val="clear" w:fill="E6F0EF"/>
        <w:spacing w:lineRule="exact" w:line="276" w:before="0" w:after="200"/>
        <w:ind w:left="200"/>
        <w:rPr/>
      </w:pPr>
      <w:r>
        <w:rPr>
          <w:rFonts w:eastAsia="Calibri" w:cs="Calibri"/>
        </w:rPr>
        <w:t>Seorang bidan hendak memotret memar di lengan Pasien menggunakan ponsel pribadinya untuk "berjaga-jaga." Supervisor mengingatkan bahwa ini melanggar prosedur: foto forensik harus diambil dengan persetujuan eksplisit, menggunakan perangkat resmi fasilitas (bukan ponsel pribadi), disertai penggaris skala, dan disimpan dalam sistem rekam medis dengan kontrol akses — bukan tersimpan di galeri pribadi petugas.</w:t>
      </w:r>
    </w:p>
    <w:p>
      <w:pPr>
        <w:pStyle w:val="Heading2"/>
        <w:spacing w:before="320" w:after="160"/>
        <w:rPr/>
      </w:pPr>
      <w:bookmarkStart w:id="57" w:name="__RefHeading___Toc679_3416633461"/>
      <w:bookmarkEnd w:id="57"/>
      <w:r>
        <w:rPr/>
        <w:t>5.3 Visum et Repertum: Definisi, Kewenangan, dan Prosedur</w:t>
      </w:r>
    </w:p>
    <w:p>
      <w:pPr>
        <w:pStyle w:val="Normal"/>
        <w:spacing w:lineRule="exact" w:line="276" w:before="0" w:after="160"/>
        <w:rPr/>
      </w:pPr>
      <w:r>
        <w:rPr>
          <w:rFonts w:eastAsia="Calibri" w:cs="Calibri"/>
          <w:i/>
          <w:iCs/>
          <w:color w:val="444444"/>
        </w:rPr>
        <w:t>Banyak tenaga kesehatan di layanan masyarakat mengira mereka bisa langsung membuat "surat visum" begitu ada kasus kekerasan — padahal ada prasyarat prosedural ketat yang bila diabaikan justru bisa merugikan proses hukum Pasien.</w:t>
      </w:r>
    </w:p>
    <w:p>
      <w:pPr>
        <w:pStyle w:val="Heading3"/>
        <w:spacing w:before="320" w:after="160"/>
        <w:rPr/>
      </w:pPr>
      <w:bookmarkStart w:id="58" w:name="__RefHeading___Toc681_3416633461"/>
      <w:bookmarkEnd w:id="58"/>
      <w:r>
        <w:rPr/>
        <w:t>5.3.1 Definisi dan Kedudukan Hukum</w:t>
      </w:r>
    </w:p>
    <w:p>
      <w:pPr>
        <w:pStyle w:val="Normal"/>
        <w:spacing w:lineRule="exact" w:line="276" w:before="0" w:after="160"/>
        <w:rPr/>
      </w:pPr>
      <w:r>
        <w:rPr>
          <w:rFonts w:eastAsia="Calibri" w:cs="Calibri"/>
        </w:rPr>
        <w:t>Visum et repertum adalah keterangan tertulis yang dibuat oleh dokter atas permintaan resmi penyidik yang berwenang, memuat hasil pemeriksaan terhadap sesuatu yang dilihat dan ditemukan pada tubuh manusia berdasarkan keilmuan sebaik-baiknya, untuk kepentingan peradilan. Visum et repertum berbeda secara mendasar dari dokumentasi forensik dasar (F6) yang dapat dibuat oleh tenaga kesehatan tanpa permintaan resmi penyidik — visum et repertum secara spesifik memerlukan surat permintaan visum (SPV) dari penyidik sebagai prasyarat prosedural.</w:t>
      </w:r>
    </w:p>
    <w:p>
      <w:pPr>
        <w:pStyle w:val="Normal"/>
        <w:pBdr>
          <w:left w:val="single" w:sz="24" w:space="8" w:color="2E6F6E"/>
        </w:pBdr>
        <w:shd w:val="clear" w:fill="E6F0EF"/>
        <w:spacing w:before="0" w:after="60"/>
        <w:ind w:left="200"/>
        <w:rPr/>
      </w:pPr>
      <w:r>
        <w:rPr>
          <w:rFonts w:eastAsia="Calibri" w:cs="Calibri"/>
          <w:b/>
          <w:bCs/>
          <w:color w:val="2E6F6E"/>
          <w:sz w:val="20"/>
          <w:szCs w:val="20"/>
        </w:rPr>
        <w:t>ILUSTRASI PENERAPAN</w:t>
      </w:r>
    </w:p>
    <w:p>
      <w:pPr>
        <w:pStyle w:val="Normal"/>
        <w:pBdr>
          <w:left w:val="single" w:sz="24" w:space="8" w:color="2E6F6E"/>
        </w:pBdr>
        <w:shd w:val="clear" w:fill="E6F0EF"/>
        <w:spacing w:lineRule="exact" w:line="276" w:before="0" w:after="200"/>
        <w:ind w:left="200"/>
        <w:rPr/>
      </w:pPr>
      <w:r>
        <w:rPr>
          <w:rFonts w:eastAsia="Calibri" w:cs="Calibri"/>
        </w:rPr>
        <w:t>Keluarga seorang Pasien mendesak dokter Puskesmas untuk "langsung membuat visum" agar bisa dibawa ke polisi hari itu juga. Dokter menjelaskan bahwa yang dapat dibuat saat itu adalah dokumentasi forensik dasar (F6), sementara visum et repertum resmi baru dapat dibuat setelah keluarga melapor ke polisi dan penyidik menerbitkan surat permintaan visum ke fasilitas yang berwenang.</w:t>
      </w:r>
    </w:p>
    <w:p>
      <w:pPr>
        <w:pStyle w:val="Heading3"/>
        <w:spacing w:before="320" w:after="160"/>
        <w:rPr/>
      </w:pPr>
      <w:bookmarkStart w:id="59" w:name="__RefHeading___Toc683_3416633461"/>
      <w:bookmarkEnd w:id="59"/>
      <w:r>
        <w:rPr/>
        <w:t>5.3.2 Prosedur Pembuatan</w:t>
      </w:r>
    </w:p>
    <w:p>
      <w:pPr>
        <w:pStyle w:val="Normal"/>
        <w:spacing w:lineRule="exact" w:line="276" w:before="0" w:after="160"/>
        <w:rPr/>
      </w:pPr>
      <w:r>
        <w:rPr>
          <w:rFonts w:eastAsia="Calibri" w:cs="Calibri"/>
        </w:rPr>
        <w:t>Prosedur baku meliputi: verifikasi keabsahan surat permintaan visum sebelum pemeriksaan dilakukan; pemeriksaan menyeluruh yang meliputi anamnesis kejadian (dicatat sebagai bagian laporan, bukan sebagai fakta yang divalidasi kebenarannya oleh dokter), pemeriksaan fisik umum dan khusus organ genital bila relevan, serta pemeriksaan penunjang yang diperlukan (misalnya pemeriksaan laboratorium untuk bukti forensik biologis pada kasus kekerasan seksual, idealnya dalam rentang waktu emas 72 jam pascakejadian); dan penyusunan laporan dalam format baku (Pro Justitia, Pendahuluan, Pemberitaan, Kesimpulan, Penutup) yang ditandatangani dokter pemeriksa.</w:t>
      </w:r>
    </w:p>
    <w:p>
      <w:pPr>
        <w:pStyle w:val="Normal"/>
        <w:pBdr>
          <w:left w:val="single" w:sz="24" w:space="8" w:color="2E6F6E"/>
        </w:pBdr>
        <w:shd w:val="clear" w:fill="E6F0EF"/>
        <w:spacing w:before="0" w:after="60"/>
        <w:ind w:left="200"/>
        <w:rPr/>
      </w:pPr>
      <w:r>
        <w:rPr>
          <w:rFonts w:eastAsia="Calibri" w:cs="Calibri"/>
          <w:b/>
          <w:bCs/>
          <w:color w:val="2E6F6E"/>
          <w:sz w:val="20"/>
          <w:szCs w:val="20"/>
        </w:rPr>
        <w:t>ILUSTRASI PENERAPAN</w:t>
      </w:r>
    </w:p>
    <w:p>
      <w:pPr>
        <w:pStyle w:val="Normal"/>
        <w:pBdr>
          <w:left w:val="single" w:sz="24" w:space="8" w:color="2E6F6E"/>
        </w:pBdr>
        <w:shd w:val="clear" w:fill="E6F0EF"/>
        <w:spacing w:lineRule="exact" w:line="276" w:before="0" w:after="200"/>
        <w:ind w:left="200"/>
        <w:rPr/>
      </w:pPr>
      <w:r>
        <w:rPr>
          <w:rFonts w:eastAsia="Calibri" w:cs="Calibri"/>
        </w:rPr>
        <w:t>Seorang dokter menerima surat permintaan visum yang ternyata belum ditandatangani pejabat berwenang di kepolisian. Sesuai prosedur, dokter menahan pemeriksaan resmi sampai surat diperbaiki, sambil tetap melakukan dokumentasi forensik dasar dan penanganan klinis segera agar Pasien tidak menunggu tanpa penanganan hanya karena masalah administratif surat.</w:t>
      </w:r>
    </w:p>
    <w:p>
      <w:pPr>
        <w:pStyle w:val="Heading3"/>
        <w:spacing w:before="320" w:after="160"/>
        <w:rPr/>
      </w:pPr>
      <w:bookmarkStart w:id="60" w:name="__RefHeading___Toc685_3416633461"/>
      <w:bookmarkEnd w:id="60"/>
      <w:r>
        <w:rPr/>
        <w:t>5.3.3 Batasan Kewenangan dalam Kesimpulan Visum</w:t>
      </w:r>
    </w:p>
    <w:p>
      <w:pPr>
        <w:pStyle w:val="Normal"/>
        <w:spacing w:lineRule="exact" w:line="276" w:before="0" w:after="160"/>
        <w:rPr/>
      </w:pPr>
      <w:r>
        <w:rPr>
          <w:rFonts w:eastAsia="Calibri" w:cs="Calibri"/>
        </w:rPr>
        <w:t>Bagian kesimpulan visum et repertum terbatas pada kesimpulan medis: jenis dan derajat luka, kualifikasi luka menurut ketentuan hukum pidana yang relevan (luka ringan/sedang/berat berdasarkan kriteria medis yang telah ditetapkan), serta perkiraan mekanisme dan waktu terjadinya cedera berdasarkan temuan klinis. Kesimpulan visum SECARA TEGAS tidak mencakup penilaian kebenaran cerita korban, penentuan pelaku, maupun kesimpulan hukum atas ada-tidaknya tindak pidana — batasan ini konsisten dengan prinsip yang telah dibahas pada Bab 4 mengenai peran tenaga kesehatan sebagai saksi ahli.</w:t>
      </w:r>
    </w:p>
    <w:p>
      <w:pPr>
        <w:pStyle w:val="Normal"/>
        <w:spacing w:lineRule="exact" w:line="276" w:before="0" w:after="160"/>
        <w:rPr/>
      </w:pPr>
      <w:r>
        <w:rPr>
          <w:rFonts w:eastAsia="Calibri" w:cs="Calibri"/>
        </w:rPr>
        <w:t>Tabel berikut merangkum perbedaan mendasar antara dokumentasi forensik dasar dan visum et repertum:</w:t>
      </w:r>
    </w:p>
    <w:tbl>
      <w:tblPr>
        <w:tblW w:w="9400" w:type="dxa"/>
        <w:jc w:val="left"/>
        <w:tblInd w:w="0" w:type="dxa"/>
        <w:tblLayout w:type="fixed"/>
        <w:tblCellMar>
          <w:top w:w="100" w:type="dxa"/>
          <w:left w:w="120" w:type="dxa"/>
          <w:bottom w:w="100" w:type="dxa"/>
          <w:right w:w="120" w:type="dxa"/>
        </w:tblCellMar>
      </w:tblPr>
      <w:tblGrid>
        <w:gridCol w:w="2600"/>
        <w:gridCol w:w="3400"/>
        <w:gridCol w:w="3400"/>
      </w:tblGrid>
      <w:tr>
        <w:trPr/>
        <w:tc>
          <w:tcPr>
            <w:tcW w:w="2600" w:type="dxa"/>
            <w:tcBorders>
              <w:top w:val="single" w:sz="4" w:space="0" w:color="000000"/>
              <w:left w:val="single" w:sz="4" w:space="0" w:color="000000"/>
              <w:bottom w:val="single" w:sz="4" w:space="0" w:color="000000"/>
              <w:right w:val="single" w:sz="4" w:space="0" w:color="000000"/>
            </w:tcBorders>
            <w:shd w:fill="2C3A64" w:val="clear"/>
            <w:vAlign w:val="center"/>
          </w:tcPr>
          <w:p>
            <w:pPr>
              <w:pStyle w:val="Normal"/>
              <w:rPr/>
            </w:pPr>
            <w:r>
              <w:rPr>
                <w:rFonts w:eastAsia="Calibri" w:cs="Calibri"/>
                <w:b/>
                <w:bCs/>
                <w:color w:val="FFFFFF"/>
                <w:sz w:val="20"/>
                <w:szCs w:val="20"/>
              </w:rPr>
              <w:t>Aspek</w:t>
            </w:r>
          </w:p>
        </w:tc>
        <w:tc>
          <w:tcPr>
            <w:tcW w:w="3400" w:type="dxa"/>
            <w:tcBorders>
              <w:top w:val="single" w:sz="4" w:space="0" w:color="000000"/>
              <w:left w:val="single" w:sz="4" w:space="0" w:color="000000"/>
              <w:bottom w:val="single" w:sz="4" w:space="0" w:color="000000"/>
              <w:right w:val="single" w:sz="4" w:space="0" w:color="000000"/>
            </w:tcBorders>
            <w:shd w:fill="2C3A64" w:val="clear"/>
            <w:vAlign w:val="center"/>
          </w:tcPr>
          <w:p>
            <w:pPr>
              <w:pStyle w:val="Normal"/>
              <w:rPr/>
            </w:pPr>
            <w:r>
              <w:rPr>
                <w:rFonts w:eastAsia="Calibri" w:cs="Calibri"/>
                <w:b/>
                <w:bCs/>
                <w:color w:val="FFFFFF"/>
                <w:sz w:val="20"/>
                <w:szCs w:val="20"/>
              </w:rPr>
              <w:t>Dokumentasi Forensik Dasar</w:t>
            </w:r>
          </w:p>
        </w:tc>
        <w:tc>
          <w:tcPr>
            <w:tcW w:w="3400" w:type="dxa"/>
            <w:tcBorders>
              <w:top w:val="single" w:sz="4" w:space="0" w:color="000000"/>
              <w:left w:val="single" w:sz="4" w:space="0" w:color="000000"/>
              <w:bottom w:val="single" w:sz="4" w:space="0" w:color="000000"/>
              <w:right w:val="single" w:sz="4" w:space="0" w:color="000000"/>
            </w:tcBorders>
            <w:shd w:fill="2C3A64" w:val="clear"/>
            <w:vAlign w:val="center"/>
          </w:tcPr>
          <w:p>
            <w:pPr>
              <w:pStyle w:val="Normal"/>
              <w:rPr/>
            </w:pPr>
            <w:r>
              <w:rPr>
                <w:rFonts w:eastAsia="Calibri" w:cs="Calibri"/>
                <w:b/>
                <w:bCs/>
                <w:color w:val="FFFFFF"/>
                <w:sz w:val="20"/>
                <w:szCs w:val="20"/>
              </w:rPr>
              <w:t>Visum et Repertum</w:t>
            </w:r>
          </w:p>
        </w:tc>
      </w:tr>
      <w:tr>
        <w:trPr/>
        <w:tc>
          <w:tcPr>
            <w:tcW w:w="2600" w:type="dxa"/>
            <w:tcBorders>
              <w:top w:val="single" w:sz="4" w:space="0" w:color="000000"/>
              <w:left w:val="single" w:sz="4" w:space="0" w:color="000000"/>
              <w:bottom w:val="single" w:sz="4" w:space="0" w:color="000000"/>
              <w:right w:val="single" w:sz="4" w:space="0" w:color="000000"/>
            </w:tcBorders>
            <w:shd w:fill="F2F2F2" w:val="clear"/>
          </w:tcPr>
          <w:p>
            <w:pPr>
              <w:pStyle w:val="Normal"/>
              <w:spacing w:lineRule="exact" w:line="260"/>
              <w:rPr/>
            </w:pPr>
            <w:r>
              <w:rPr>
                <w:rFonts w:eastAsia="Calibri" w:cs="Calibri"/>
              </w:rPr>
              <w:t>Prasyarat</w:t>
            </w:r>
          </w:p>
        </w:tc>
        <w:tc>
          <w:tcPr>
            <w:tcW w:w="3400" w:type="dxa"/>
            <w:tcBorders>
              <w:top w:val="single" w:sz="4" w:space="0" w:color="000000"/>
              <w:left w:val="single" w:sz="4" w:space="0" w:color="000000"/>
              <w:bottom w:val="single" w:sz="4" w:space="0" w:color="000000"/>
              <w:right w:val="single" w:sz="4" w:space="0" w:color="000000"/>
            </w:tcBorders>
            <w:shd w:fill="F2F2F2" w:val="clear"/>
          </w:tcPr>
          <w:p>
            <w:pPr>
              <w:pStyle w:val="Normal"/>
              <w:spacing w:lineRule="exact" w:line="260"/>
              <w:rPr/>
            </w:pPr>
            <w:r>
              <w:rPr>
                <w:rFonts w:eastAsia="Calibri" w:cs="Calibri"/>
              </w:rPr>
              <w:t>Tidak memerlukan permintaan resmi penyidik</w:t>
            </w:r>
          </w:p>
        </w:tc>
        <w:tc>
          <w:tcPr>
            <w:tcW w:w="3400" w:type="dxa"/>
            <w:tcBorders>
              <w:top w:val="single" w:sz="4" w:space="0" w:color="000000"/>
              <w:left w:val="single" w:sz="4" w:space="0" w:color="000000"/>
              <w:bottom w:val="single" w:sz="4" w:space="0" w:color="000000"/>
              <w:right w:val="single" w:sz="4" w:space="0" w:color="000000"/>
            </w:tcBorders>
            <w:shd w:fill="F2F2F2" w:val="clear"/>
          </w:tcPr>
          <w:p>
            <w:pPr>
              <w:pStyle w:val="Normal"/>
              <w:spacing w:lineRule="exact" w:line="260"/>
              <w:rPr/>
            </w:pPr>
            <w:r>
              <w:rPr>
                <w:rFonts w:eastAsia="Calibri" w:cs="Calibri"/>
              </w:rPr>
              <w:t>Wajib didahului Surat Permintaan Visum (SPV) dari penyidik</w:t>
            </w:r>
          </w:p>
        </w:tc>
      </w:tr>
      <w:tr>
        <w:trPr/>
        <w:tc>
          <w:tcPr>
            <w:tcW w:w="2600" w:type="dxa"/>
            <w:tcBorders>
              <w:top w:val="single" w:sz="4" w:space="0" w:color="000000"/>
              <w:left w:val="single" w:sz="4" w:space="0" w:color="000000"/>
              <w:bottom w:val="single" w:sz="4" w:space="0" w:color="000000"/>
              <w:right w:val="single" w:sz="4" w:space="0" w:color="000000"/>
            </w:tcBorders>
          </w:tcPr>
          <w:p>
            <w:pPr>
              <w:pStyle w:val="Normal"/>
              <w:spacing w:lineRule="exact" w:line="260"/>
              <w:rPr/>
            </w:pPr>
            <w:r>
              <w:rPr>
                <w:rFonts w:eastAsia="Calibri" w:cs="Calibri"/>
              </w:rPr>
              <w:t>Pembuat</w:t>
            </w:r>
          </w:p>
        </w:tc>
        <w:tc>
          <w:tcPr>
            <w:tcW w:w="3400" w:type="dxa"/>
            <w:tcBorders>
              <w:top w:val="single" w:sz="4" w:space="0" w:color="000000"/>
              <w:left w:val="single" w:sz="4" w:space="0" w:color="000000"/>
              <w:bottom w:val="single" w:sz="4" w:space="0" w:color="000000"/>
              <w:right w:val="single" w:sz="4" w:space="0" w:color="000000"/>
            </w:tcBorders>
          </w:tcPr>
          <w:p>
            <w:pPr>
              <w:pStyle w:val="Normal"/>
              <w:spacing w:lineRule="exact" w:line="260"/>
              <w:rPr/>
            </w:pPr>
            <w:r>
              <w:rPr>
                <w:rFonts w:eastAsia="Calibri" w:cs="Calibri"/>
              </w:rPr>
              <w:t>Tenaga kesehatan di titik layanan pertama (bidan, dokter umum, Subspesialis Obginsos)</w:t>
            </w:r>
          </w:p>
        </w:tc>
        <w:tc>
          <w:tcPr>
            <w:tcW w:w="3400" w:type="dxa"/>
            <w:tcBorders>
              <w:top w:val="single" w:sz="4" w:space="0" w:color="000000"/>
              <w:left w:val="single" w:sz="4" w:space="0" w:color="000000"/>
              <w:bottom w:val="single" w:sz="4" w:space="0" w:color="000000"/>
              <w:right w:val="single" w:sz="4" w:space="0" w:color="000000"/>
            </w:tcBorders>
          </w:tcPr>
          <w:p>
            <w:pPr>
              <w:pStyle w:val="Normal"/>
              <w:spacing w:lineRule="exact" w:line="260"/>
              <w:rPr/>
            </w:pPr>
            <w:r>
              <w:rPr>
                <w:rFonts w:eastAsia="Calibri" w:cs="Calibri"/>
              </w:rPr>
              <w:t>Dokter yang berwenang membuat visum sesuai penunjukan fasilitas rujukan</w:t>
            </w:r>
          </w:p>
        </w:tc>
      </w:tr>
      <w:tr>
        <w:trPr/>
        <w:tc>
          <w:tcPr>
            <w:tcW w:w="2600" w:type="dxa"/>
            <w:tcBorders>
              <w:top w:val="single" w:sz="4" w:space="0" w:color="000000"/>
              <w:left w:val="single" w:sz="4" w:space="0" w:color="000000"/>
              <w:bottom w:val="single" w:sz="4" w:space="0" w:color="000000"/>
              <w:right w:val="single" w:sz="4" w:space="0" w:color="000000"/>
            </w:tcBorders>
            <w:shd w:fill="F2F2F2" w:val="clear"/>
          </w:tcPr>
          <w:p>
            <w:pPr>
              <w:pStyle w:val="Normal"/>
              <w:spacing w:lineRule="exact" w:line="260"/>
              <w:rPr/>
            </w:pPr>
            <w:r>
              <w:rPr>
                <w:rFonts w:eastAsia="Calibri" w:cs="Calibri"/>
              </w:rPr>
              <w:t>Format</w:t>
            </w:r>
          </w:p>
        </w:tc>
        <w:tc>
          <w:tcPr>
            <w:tcW w:w="3400" w:type="dxa"/>
            <w:tcBorders>
              <w:top w:val="single" w:sz="4" w:space="0" w:color="000000"/>
              <w:left w:val="single" w:sz="4" w:space="0" w:color="000000"/>
              <w:bottom w:val="single" w:sz="4" w:space="0" w:color="000000"/>
              <w:right w:val="single" w:sz="4" w:space="0" w:color="000000"/>
            </w:tcBorders>
            <w:shd w:fill="F2F2F2" w:val="clear"/>
          </w:tcPr>
          <w:p>
            <w:pPr>
              <w:pStyle w:val="Normal"/>
              <w:spacing w:lineRule="exact" w:line="260"/>
              <w:rPr/>
            </w:pPr>
            <w:r>
              <w:rPr>
                <w:rFonts w:eastAsia="Calibri" w:cs="Calibri"/>
              </w:rPr>
              <w:t>Formulir F6 (Dokumentasi Forensik Dasar)</w:t>
            </w:r>
          </w:p>
        </w:tc>
        <w:tc>
          <w:tcPr>
            <w:tcW w:w="3400" w:type="dxa"/>
            <w:tcBorders>
              <w:top w:val="single" w:sz="4" w:space="0" w:color="000000"/>
              <w:left w:val="single" w:sz="4" w:space="0" w:color="000000"/>
              <w:bottom w:val="single" w:sz="4" w:space="0" w:color="000000"/>
              <w:right w:val="single" w:sz="4" w:space="0" w:color="000000"/>
            </w:tcBorders>
            <w:shd w:fill="F2F2F2" w:val="clear"/>
          </w:tcPr>
          <w:p>
            <w:pPr>
              <w:pStyle w:val="Normal"/>
              <w:spacing w:lineRule="exact" w:line="260"/>
              <w:rPr/>
            </w:pPr>
            <w:r>
              <w:rPr>
                <w:rFonts w:eastAsia="Calibri" w:cs="Calibri"/>
              </w:rPr>
              <w:t>Format baku Pro Justitia: Pendahuluan, Pemberitaan, Kesimpulan, Penutup</w:t>
            </w:r>
          </w:p>
        </w:tc>
      </w:tr>
      <w:tr>
        <w:trPr/>
        <w:tc>
          <w:tcPr>
            <w:tcW w:w="2600" w:type="dxa"/>
            <w:tcBorders>
              <w:top w:val="single" w:sz="4" w:space="0" w:color="000000"/>
              <w:left w:val="single" w:sz="4" w:space="0" w:color="000000"/>
              <w:bottom w:val="single" w:sz="4" w:space="0" w:color="000000"/>
              <w:right w:val="single" w:sz="4" w:space="0" w:color="000000"/>
            </w:tcBorders>
          </w:tcPr>
          <w:p>
            <w:pPr>
              <w:pStyle w:val="Normal"/>
              <w:spacing w:lineRule="exact" w:line="260"/>
              <w:rPr/>
            </w:pPr>
            <w:r>
              <w:rPr>
                <w:rFonts w:eastAsia="Calibri" w:cs="Calibri"/>
              </w:rPr>
              <w:t>Kedudukan Hukum</w:t>
            </w:r>
          </w:p>
        </w:tc>
        <w:tc>
          <w:tcPr>
            <w:tcW w:w="3400" w:type="dxa"/>
            <w:tcBorders>
              <w:top w:val="single" w:sz="4" w:space="0" w:color="000000"/>
              <w:left w:val="single" w:sz="4" w:space="0" w:color="000000"/>
              <w:bottom w:val="single" w:sz="4" w:space="0" w:color="000000"/>
              <w:right w:val="single" w:sz="4" w:space="0" w:color="000000"/>
            </w:tcBorders>
          </w:tcPr>
          <w:p>
            <w:pPr>
              <w:pStyle w:val="Normal"/>
              <w:spacing w:lineRule="exact" w:line="260"/>
              <w:rPr/>
            </w:pPr>
            <w:r>
              <w:rPr>
                <w:rFonts w:eastAsia="Calibri" w:cs="Calibri"/>
              </w:rPr>
              <w:t>Bagian rekam medis; dapat menjadi informasi pendukung</w:t>
            </w:r>
          </w:p>
        </w:tc>
        <w:tc>
          <w:tcPr>
            <w:tcW w:w="3400" w:type="dxa"/>
            <w:tcBorders>
              <w:top w:val="single" w:sz="4" w:space="0" w:color="000000"/>
              <w:left w:val="single" w:sz="4" w:space="0" w:color="000000"/>
              <w:bottom w:val="single" w:sz="4" w:space="0" w:color="000000"/>
              <w:right w:val="single" w:sz="4" w:space="0" w:color="000000"/>
            </w:tcBorders>
          </w:tcPr>
          <w:p>
            <w:pPr>
              <w:pStyle w:val="Normal"/>
              <w:spacing w:lineRule="exact" w:line="260"/>
              <w:rPr/>
            </w:pPr>
            <w:r>
              <w:rPr>
                <w:rFonts w:eastAsia="Calibri" w:cs="Calibri"/>
              </w:rPr>
              <w:t>Alat bukti sah dalam proses peradilan</w:t>
            </w:r>
          </w:p>
        </w:tc>
      </w:tr>
    </w:tbl>
    <w:p>
      <w:pPr>
        <w:pStyle w:val="Normal"/>
        <w:spacing w:before="0" w:after="160"/>
        <w:rPr/>
      </w:pPr>
      <w:r>
        <w:rPr/>
      </w:r>
    </w:p>
    <w:p>
      <w:pPr>
        <w:pStyle w:val="Normal"/>
        <w:pBdr>
          <w:left w:val="single" w:sz="24" w:space="8" w:color="2E6F6E"/>
        </w:pBdr>
        <w:shd w:val="clear" w:fill="E6F0EF"/>
        <w:spacing w:before="0" w:after="60"/>
        <w:ind w:left="200"/>
        <w:rPr/>
      </w:pPr>
      <w:r>
        <w:rPr>
          <w:rFonts w:eastAsia="Calibri" w:cs="Calibri"/>
          <w:b/>
          <w:bCs/>
          <w:color w:val="2E6F6E"/>
          <w:sz w:val="20"/>
          <w:szCs w:val="20"/>
        </w:rPr>
        <w:t>ILUSTRASI PENERAPAN</w:t>
      </w:r>
    </w:p>
    <w:p>
      <w:pPr>
        <w:pStyle w:val="Normal"/>
        <w:pBdr>
          <w:left w:val="single" w:sz="24" w:space="8" w:color="2E6F6E"/>
        </w:pBdr>
        <w:shd w:val="clear" w:fill="E6F0EF"/>
        <w:spacing w:lineRule="exact" w:line="276" w:before="0" w:after="200"/>
        <w:ind w:left="200"/>
        <w:rPr/>
      </w:pPr>
      <w:r>
        <w:rPr>
          <w:rFonts w:eastAsia="Calibri" w:cs="Calibri"/>
        </w:rPr>
        <w:t>Penyidik meminta dokter menyimpulkan dalam visum bahwa "korban tidak berbohong." Dokter menolak permintaan tersebut dan menjelaskan bahwa kesimpulan visum hanya dapat memuat jenis, derajat, dan kualifikasi luka menurut kriteria medis — penilaian kebenaran keterangan korban berada sepenuhnya di luar kewenangan dan format baku visum et repertum.</w:t>
      </w:r>
    </w:p>
    <w:p>
      <w:pPr>
        <w:pStyle w:val="Heading2"/>
        <w:spacing w:before="320" w:after="160"/>
        <w:rPr/>
      </w:pPr>
      <w:bookmarkStart w:id="61" w:name="__RefHeading___Toc687_3416633461"/>
      <w:bookmarkEnd w:id="61"/>
      <w:r>
        <w:rPr/>
        <w:t>5.4 Ketersediaan Layanan Visum di Tingkat Masyarakat</w:t>
      </w:r>
    </w:p>
    <w:p>
      <w:pPr>
        <w:pStyle w:val="Normal"/>
        <w:spacing w:lineRule="exact" w:line="276" w:before="0" w:after="160"/>
        <w:rPr/>
      </w:pPr>
      <w:r>
        <w:rPr>
          <w:rFonts w:eastAsia="Calibri" w:cs="Calibri"/>
          <w:i/>
          <w:iCs/>
          <w:color w:val="444444"/>
        </w:rPr>
        <w:t>Idealisme prosedural di atas kertas sering berbenturan dengan kenyataan bahwa banyak wilayah tidak memiliki dokter yang berwenang membuat visum dalam jarak dekat — bab ini tidak boleh berhenti pada teori tanpa strategi menghadapi keterbatasan tersebut.</w:t>
      </w:r>
    </w:p>
    <w:p>
      <w:pPr>
        <w:pStyle w:val="Normal"/>
        <w:spacing w:lineRule="exact" w:line="276" w:before="0" w:after="160"/>
        <w:rPr/>
      </w:pPr>
      <w:r>
        <w:rPr>
          <w:rFonts w:eastAsia="Calibri" w:cs="Calibri"/>
        </w:rPr>
        <w:t>Tantangan struktural signifikan di tingkat layanan masyarakat adalah keterbatasan akses ke dokter yang berwenang dan berkompeten membuat visum et repertum, terutama di wilayah dengan keterbatasan tenaga forensik/kedokteran umum yang terlatih. Peran Subspesialis Obginsos dalam konteks ini mencakup: memastikan dokumentasi forensik dasar (F6) tetap dilakukan di titik layanan pertama sekalipun visum resmi belum dapat segera dibuat, memfasilitasi rujukan cepat ke fasilitas yang memiliki kewenangan visum (biasanya RS rujukan tingkat kabupaten), dan mengedukasi jejaring layanan masyarakat mengenai pentingnya tidak menunda rujukan pada kasus kekerasan seksual mengingat rentang waktu emas pengumpulan bukti biologis.</w:t>
      </w:r>
    </w:p>
    <w:p>
      <w:pPr>
        <w:pStyle w:val="Normal"/>
        <w:pBdr>
          <w:left w:val="single" w:sz="24" w:space="8" w:color="2C3A64"/>
        </w:pBdr>
        <w:shd w:val="clear" w:fill="EAEDF4"/>
        <w:spacing w:before="0" w:after="60"/>
        <w:ind w:left="200"/>
        <w:rPr/>
      </w:pPr>
      <w:r>
        <w:rPr>
          <w:rFonts w:eastAsia="Calibri" w:cs="Calibri"/>
          <w:b/>
          <w:bCs/>
          <w:color w:val="2C3A64"/>
          <w:sz w:val="20"/>
          <w:szCs w:val="20"/>
        </w:rPr>
        <w:t>CATATAN KLINIS</w:t>
      </w:r>
    </w:p>
    <w:p>
      <w:pPr>
        <w:pStyle w:val="Normal"/>
        <w:pBdr>
          <w:left w:val="single" w:sz="24" w:space="8" w:color="2C3A64"/>
        </w:pBdr>
        <w:shd w:val="clear" w:fill="EAEDF4"/>
        <w:spacing w:lineRule="exact" w:line="276" w:before="0" w:after="200"/>
        <w:ind w:left="200"/>
        <w:rPr/>
      </w:pPr>
      <w:r>
        <w:rPr>
          <w:rFonts w:eastAsia="Calibri" w:cs="Calibri"/>
        </w:rPr>
        <w:t>Dokumentasi forensik dasar yang baik pada kontak pertama layanan masyarakat — meskipun bukan visum et repertum resmi — dapat menjadi informasi pendukung berharga saat Pasien akhirnya dirujuk untuk visum resmi, terutama bila terdapat jeda waktu antara kejadian dan akses ke fasilitas berwenang.</w:t>
      </w:r>
    </w:p>
    <w:p>
      <w:pPr>
        <w:pStyle w:val="Normal"/>
        <w:pBdr>
          <w:left w:val="single" w:sz="24" w:space="8" w:color="2E6F6E"/>
        </w:pBdr>
        <w:shd w:val="clear" w:fill="E6F0EF"/>
        <w:spacing w:before="0" w:after="60"/>
        <w:ind w:left="200"/>
        <w:rPr/>
      </w:pPr>
      <w:r>
        <w:rPr>
          <w:rFonts w:eastAsia="Calibri" w:cs="Calibri"/>
          <w:b/>
          <w:bCs/>
          <w:color w:val="2E6F6E"/>
          <w:sz w:val="20"/>
          <w:szCs w:val="20"/>
        </w:rPr>
        <w:t>ILUSTRASI PENERAPAN</w:t>
      </w:r>
    </w:p>
    <w:p>
      <w:pPr>
        <w:pStyle w:val="Normal"/>
        <w:pBdr>
          <w:left w:val="single" w:sz="24" w:space="8" w:color="2E6F6E"/>
        </w:pBdr>
        <w:shd w:val="clear" w:fill="E6F0EF"/>
        <w:spacing w:lineRule="exact" w:line="276" w:before="0" w:after="200"/>
        <w:ind w:left="200"/>
        <w:rPr/>
      </w:pPr>
      <w:r>
        <w:rPr>
          <w:rFonts w:eastAsia="Calibri" w:cs="Calibri"/>
        </w:rPr>
        <w:t>Di sebuah kabupaten dengan hanya satu dokter berwenang visum yang berjarak tiga jam perjalanan, Puskesmas setempat menetapkan protokol: setiap kasus kekerasan seksual segera didokumentasikan dasar (F6) dan dirujuk hari itu juga tanpa menunggu proses administratif selesai terlebih dahulu, agar rentang waktu emas 72 jam untuk bukti biologis tidak habis di perjalanan.</w:t>
      </w:r>
    </w:p>
    <w:p>
      <w:pPr>
        <w:pStyle w:val="Heading2"/>
        <w:spacing w:before="320" w:after="160"/>
        <w:rPr/>
      </w:pPr>
      <w:bookmarkStart w:id="62" w:name="__RefHeading___Toc689_3416633461"/>
      <w:bookmarkEnd w:id="62"/>
      <w:r>
        <w:rPr/>
        <w:t>5.5 Kerahasiaan, Persetujuan, dan Pengungkapan kepada Pihak Ketiga</w:t>
      </w:r>
    </w:p>
    <w:p>
      <w:pPr>
        <w:pStyle w:val="Normal"/>
        <w:spacing w:lineRule="exact" w:line="276" w:before="0" w:after="160"/>
        <w:rPr/>
      </w:pPr>
      <w:r>
        <w:rPr>
          <w:rFonts w:eastAsia="Calibri" w:cs="Calibri"/>
          <w:i/>
          <w:iCs/>
          <w:color w:val="444444"/>
        </w:rPr>
        <w:t>Setelah dokumentasi dibuat dengan baik, pertanyaan berikutnya adalah: siapa yang boleh melihatnya, dan atas dasar apa? Kelalaian pada aspek ini dapat merusak kepercayaan Pasien yang telah dibangun sejak awal.</w:t>
      </w:r>
    </w:p>
    <w:p>
      <w:pPr>
        <w:pStyle w:val="Normal"/>
        <w:spacing w:lineRule="exact" w:line="276" w:before="0" w:after="160"/>
        <w:rPr/>
      </w:pPr>
      <w:r>
        <w:rPr>
          <w:rFonts w:eastAsia="Calibri" w:cs="Calibri"/>
        </w:rPr>
        <w:t>Seluruh dokumentasi klinis dan forensik dasar tunduk pada prinsip kerahasiaan medis. Pengungkapan kepada pihak ketiga (termasuk kepada penyidik di luar mekanisme visum resmi) memerlukan persetujuan Pasien atau dasar hukum yang sah (misalnya perintah pengadilan). Pengecualian berlaku pada kasus yang melibatkan kewajiban pelaporan hukum, khususnya kasus anak, sebagaimana telah disinggung pada Bab 4.</w:t>
      </w:r>
    </w:p>
    <w:p>
      <w:pPr>
        <w:pStyle w:val="Normal"/>
        <w:pBdr>
          <w:left w:val="single" w:sz="24" w:space="8" w:color="2E6F6E"/>
        </w:pBdr>
        <w:shd w:val="clear" w:fill="E6F0EF"/>
        <w:spacing w:before="0" w:after="60"/>
        <w:ind w:left="200"/>
        <w:rPr/>
      </w:pPr>
      <w:r>
        <w:rPr>
          <w:rFonts w:eastAsia="Calibri" w:cs="Calibri"/>
          <w:b/>
          <w:bCs/>
          <w:color w:val="2E6F6E"/>
          <w:sz w:val="20"/>
          <w:szCs w:val="20"/>
        </w:rPr>
        <w:t>ILUSTRASI PENERAPAN</w:t>
      </w:r>
    </w:p>
    <w:p>
      <w:pPr>
        <w:pStyle w:val="Normal"/>
        <w:pBdr>
          <w:left w:val="single" w:sz="24" w:space="8" w:color="2E6F6E"/>
        </w:pBdr>
        <w:shd w:val="clear" w:fill="E6F0EF"/>
        <w:spacing w:lineRule="exact" w:line="276" w:before="0" w:after="200"/>
        <w:ind w:left="200"/>
        <w:rPr/>
      </w:pPr>
      <w:r>
        <w:rPr>
          <w:rFonts w:eastAsia="Calibri" w:cs="Calibri"/>
        </w:rPr>
        <w:t>Seorang anggota keluarga Pasien meminta salinan rekam medis "untuk keperluan keluarga" tanpa persetujuan tertulis Pasien. Petugas rekam medis menolak permintaan tersebut dan menjelaskan bahwa pengungkapan rekam medis hanya dapat dilakukan atas persetujuan eksplisit Pasien sendiri atau dasar hukum yang sah, bukan atas permintaan pihak keluarga semata.</w:t>
      </w:r>
    </w:p>
    <w:p>
      <w:pPr>
        <w:pStyle w:val="Heading3"/>
        <w:spacing w:before="320" w:after="160"/>
        <w:rPr/>
      </w:pPr>
      <w:bookmarkStart w:id="63" w:name="__RefHeading___Toc691_3416633461"/>
      <w:bookmarkEnd w:id="63"/>
      <w:r>
        <w:rPr/>
        <w:t>Ringkasan Poin Kunci</w:t>
      </w:r>
    </w:p>
    <w:p>
      <w:pPr>
        <w:pStyle w:val="Normal"/>
        <w:spacing w:lineRule="exact" w:line="276" w:before="0" w:after="100"/>
        <w:ind w:hanging="260" w:left="400"/>
        <w:rPr/>
      </w:pPr>
      <w:r>
        <w:rPr>
          <w:rFonts w:eastAsia="Calibri" w:cs="Calibri"/>
        </w:rPr>
        <w:t xml:space="preserve">• </w:t>
      </w:r>
      <w:r>
        <w:rPr>
          <w:rFonts w:eastAsia="Calibri" w:cs="Calibri"/>
        </w:rPr>
        <w:t>Dokumentasi forensik dasar bersifat deskriptif-objektif, menghindari kesimpulan mekanisme yang melampaui temuan klinis.</w:t>
      </w:r>
    </w:p>
    <w:p>
      <w:pPr>
        <w:pStyle w:val="Normal"/>
        <w:spacing w:lineRule="exact" w:line="276" w:before="0" w:after="100"/>
        <w:ind w:hanging="260" w:left="400"/>
        <w:rPr/>
      </w:pPr>
      <w:r>
        <w:rPr>
          <w:rFonts w:eastAsia="Calibri" w:cs="Calibri"/>
        </w:rPr>
        <w:t xml:space="preserve">• </w:t>
      </w:r>
      <w:r>
        <w:rPr>
          <w:rFonts w:eastAsia="Calibri" w:cs="Calibri"/>
        </w:rPr>
        <w:t>Visum et repertum memerlukan surat permintaan resmi penyidik dan mengikuti format baku Pro Justitia; berbeda dari dokumentasi forensik dasar rutin.</w:t>
      </w:r>
    </w:p>
    <w:p>
      <w:pPr>
        <w:pStyle w:val="Normal"/>
        <w:spacing w:lineRule="exact" w:line="276" w:before="0" w:after="100"/>
        <w:ind w:hanging="260" w:left="400"/>
        <w:rPr/>
      </w:pPr>
      <w:r>
        <w:rPr>
          <w:rFonts w:eastAsia="Calibri" w:cs="Calibri"/>
        </w:rPr>
        <w:t xml:space="preserve">• </w:t>
      </w:r>
      <w:r>
        <w:rPr>
          <w:rFonts w:eastAsia="Calibri" w:cs="Calibri"/>
        </w:rPr>
        <w:t>Kesimpulan visum terbatas pada aspek medis; penilaian kredibilitas dan kesimpulan hukum berada di luar kewenangan dokter.</w:t>
      </w:r>
    </w:p>
    <w:p>
      <w:pPr>
        <w:pStyle w:val="Normal"/>
        <w:spacing w:lineRule="exact" w:line="276" w:before="0" w:after="100"/>
        <w:ind w:hanging="260" w:left="400"/>
        <w:rPr/>
      </w:pPr>
      <w:r>
        <w:rPr>
          <w:rFonts w:eastAsia="Calibri" w:cs="Calibri"/>
        </w:rPr>
        <w:t xml:space="preserve">• </w:t>
      </w:r>
      <w:r>
        <w:rPr>
          <w:rFonts w:eastAsia="Calibri" w:cs="Calibri"/>
        </w:rPr>
        <w:t>Keterbatasan akses visum di tingkat masyarakat memerlukan strategi mitigasi berupa dokumentasi dasar segera dan rujukan cepat.</w:t>
      </w:r>
    </w:p>
    <w:p>
      <w:pPr>
        <w:pStyle w:val="Heading3"/>
        <w:spacing w:before="320" w:after="160"/>
        <w:rPr/>
      </w:pPr>
      <w:bookmarkStart w:id="64" w:name="__RefHeading___Toc693_3416633461"/>
      <w:bookmarkEnd w:id="64"/>
      <w:r>
        <w:rPr/>
        <w:t>Vignette</w:t>
      </w:r>
    </w:p>
    <w:p>
      <w:pPr>
        <w:pStyle w:val="Normal"/>
        <w:spacing w:lineRule="exact" w:line="276" w:before="0" w:after="160"/>
        <w:rPr/>
      </w:pPr>
      <w:r>
        <w:rPr>
          <w:rFonts w:eastAsia="Calibri" w:cs="Calibri"/>
        </w:rPr>
        <w:t>Seorang Pasien remaja datang ke Puskesmas 6 jam setelah mengalami kekerasan seksual. Bidan jaga segera melakukan dokumentasi forensik dasar (F6) dan merujuk Pasien ke RS kabupaten yang memiliki dokter berwenang membuat visum et repertum, sambil mendampingi keluarga mengurus surat permintaan visum ke Unit PPA setempat — memastikan rentang waktu emas pengumpulan bukti biologis tidak terlewat akibat proses administratif yang lambat.</w:t>
      </w:r>
    </w:p>
    <w:p>
      <w:pPr>
        <w:pStyle w:val="Heading3"/>
        <w:spacing w:before="320" w:after="160"/>
        <w:rPr/>
      </w:pPr>
      <w:bookmarkStart w:id="65" w:name="__RefHeading___Toc695_3416633461"/>
      <w:bookmarkEnd w:id="65"/>
      <w:r>
        <w:rPr/>
        <w:t>Pertanyaan Refleksi</w:t>
      </w:r>
    </w:p>
    <w:p>
      <w:pPr>
        <w:pStyle w:val="Normal"/>
        <w:spacing w:lineRule="exact" w:line="276" w:before="0" w:after="100"/>
        <w:ind w:hanging="260" w:left="400"/>
        <w:rPr/>
      </w:pPr>
      <w:r>
        <w:rPr>
          <w:rFonts w:eastAsia="Calibri" w:cs="Calibri"/>
        </w:rPr>
        <w:t>1. Mengapa dokumentasi forensik dasar tetap penting dilakukan di layanan masyarakat sekalipun bukan merupakan visum et repertum resmi?</w:t>
      </w:r>
    </w:p>
    <w:p>
      <w:pPr>
        <w:pStyle w:val="Normal"/>
        <w:spacing w:lineRule="exact" w:line="276" w:before="0" w:after="100"/>
        <w:ind w:hanging="260" w:left="400"/>
        <w:rPr/>
      </w:pPr>
      <w:r>
        <w:rPr>
          <w:rFonts w:eastAsia="Calibri" w:cs="Calibri"/>
        </w:rPr>
        <w:t>2. Bagaimana Anda akan menjaga objektivitas dokumentasi ketika Pasien menyampaikan keterangan yang emosional dan tidak runtut secara kronologis?</w:t>
      </w:r>
    </w:p>
    <w:p>
      <w:pPr>
        <w:pStyle w:val="Normal"/>
        <w:rPr/>
      </w:pPr>
      <w:r>
        <w:rPr/>
      </w:r>
      <w:r>
        <w:br w:type="page"/>
      </w:r>
    </w:p>
    <w:p>
      <w:pPr>
        <w:pStyle w:val="Heading1"/>
        <w:spacing w:before="0" w:after="160"/>
        <w:rPr/>
      </w:pPr>
      <w:bookmarkStart w:id="66" w:name="__RefHeading___Toc697_3416633461"/>
      <w:bookmarkEnd w:id="66"/>
      <w:r>
        <w:rPr/>
        <w:t>Bab 6 — Pendampingan Psikososial Jangka Panjang bagi Penyintas</w:t>
      </w:r>
    </w:p>
    <w:p>
      <w:pPr>
        <w:pStyle w:val="Heading2"/>
        <w:spacing w:before="320" w:after="160"/>
        <w:rPr/>
      </w:pPr>
      <w:bookmarkStart w:id="67" w:name="__RefHeading___Toc699_3416633461"/>
      <w:bookmarkEnd w:id="67"/>
      <w:r>
        <w:rPr/>
        <w:t>6.1 Melampaui Krisis Akut: Kebutuhan Pendampingan Berkelanjutan</w:t>
      </w:r>
    </w:p>
    <w:p>
      <w:pPr>
        <w:pStyle w:val="Normal"/>
        <w:spacing w:lineRule="exact" w:line="276" w:before="0" w:after="160"/>
        <w:rPr/>
      </w:pPr>
      <w:r>
        <w:rPr>
          <w:rFonts w:eastAsia="Calibri" w:cs="Calibri"/>
          <w:i/>
          <w:iCs/>
          <w:color w:val="444444"/>
        </w:rPr>
        <w:t>Mudah untuk merasa "tugas selesai" begitu krisis akut teratasi dan Pasien tampak stabil. Namun bagi banyak penyintas, perjalanan yang sesungguhnya baru saja dimulai — jauh setelah catatan rekam medis kasus akut ditutup.</w:t>
      </w:r>
    </w:p>
    <w:p>
      <w:pPr>
        <w:pStyle w:val="Normal"/>
        <w:spacing w:lineRule="exact" w:line="276" w:before="0" w:after="160"/>
        <w:rPr/>
      </w:pPr>
      <w:r>
        <w:rPr>
          <w:rFonts w:eastAsia="Calibri" w:cs="Calibri"/>
        </w:rPr>
        <w:t>Bab-bab sebelumnya berfokus pada deteksi (Bab 2), respons komunikasi (Bab 3), kolaborasi hukum (Bab 4), dan dokumentasi (Bab 5) pada fase krisis akut atau segera pascakejadian. Namun, dampak KBG terhadap kesehatan fisik dan psikososial penyintas bersifat jangka panjang, sering berlangsung bertahun-tahun setelah kejadian awal atau setelah penyintas keluar dari relasi kekerasan. Bab ini membahas kerangka pendampingan psikososial jangka panjang yang menjadi tanggung jawab berkelanjutan layanan kesehatan reproduksi berbasis masyarakat.</w:t>
      </w:r>
    </w:p>
    <w:p>
      <w:pPr>
        <w:pStyle w:val="Normal"/>
        <w:spacing w:lineRule="exact" w:line="276" w:before="0" w:after="160"/>
        <w:rPr/>
      </w:pPr>
      <w:r>
        <w:rPr>
          <w:rFonts w:eastAsia="Calibri" w:cs="Calibri"/>
        </w:rPr>
        <w:t>Kegagalan menyediakan pendampingan jangka panjang berisiko pada tiga konsekuensi: kekambuhan gangguan kesehatan jiwa yang tidak tertangani, kerentanan penyintas untuk kembali ke relasi kekerasan karena kurangnya dukungan alternatif, dan pengulangan siklus kekerasan pada generasi berikutnya melalui paparan anak terhadap KDRT.</w:t>
      </w:r>
    </w:p>
    <w:p>
      <w:pPr>
        <w:pStyle w:val="Normal"/>
        <w:pBdr>
          <w:left w:val="single" w:sz="24" w:space="8" w:color="2E6F6E"/>
        </w:pBdr>
        <w:shd w:val="clear" w:fill="E6F0EF"/>
        <w:spacing w:before="0" w:after="60"/>
        <w:ind w:left="200"/>
        <w:rPr/>
      </w:pPr>
      <w:r>
        <w:rPr>
          <w:rFonts w:eastAsia="Calibri" w:cs="Calibri"/>
          <w:b/>
          <w:bCs/>
          <w:color w:val="2E6F6E"/>
          <w:sz w:val="20"/>
          <w:szCs w:val="20"/>
        </w:rPr>
        <w:t>ILUSTRASI PENERAPAN</w:t>
      </w:r>
    </w:p>
    <w:p>
      <w:pPr>
        <w:pStyle w:val="Normal"/>
        <w:pBdr>
          <w:left w:val="single" w:sz="24" w:space="8" w:color="2E6F6E"/>
        </w:pBdr>
        <w:shd w:val="clear" w:fill="E6F0EF"/>
        <w:spacing w:lineRule="exact" w:line="276" w:before="0" w:after="200"/>
        <w:ind w:left="200"/>
        <w:rPr/>
      </w:pPr>
      <w:r>
        <w:rPr>
          <w:rFonts w:eastAsia="Calibri" w:cs="Calibri"/>
        </w:rPr>
        <w:t>Seorang Puskesmas menutup kasus KDRT begitu Pasien dinyatakan aman secara fisik pascapersalinan. Dua tahun kemudian, Pasien yang sama kembali dengan gejala depresi berat dan telah kembali ke relasi dengan pelaku yang sama karena tidak ada dukungan lanjutan yang membantunya bertahan secara ekonomi dan emosional setelah krisis akut mereda.</w:t>
      </w:r>
    </w:p>
    <w:p>
      <w:pPr>
        <w:pStyle w:val="Heading2"/>
        <w:spacing w:before="320" w:after="160"/>
        <w:rPr/>
      </w:pPr>
      <w:bookmarkStart w:id="68" w:name="__RefHeading___Toc701_3416633461"/>
      <w:bookmarkEnd w:id="68"/>
      <w:r>
        <w:rPr/>
        <w:t>6.2 Kerangka Pemulihan Bertahap</w:t>
      </w:r>
    </w:p>
    <w:p>
      <w:pPr>
        <w:pStyle w:val="Normal"/>
        <w:spacing w:lineRule="exact" w:line="276" w:before="0" w:after="160"/>
        <w:rPr/>
      </w:pPr>
      <w:r>
        <w:rPr>
          <w:rFonts w:eastAsia="Calibri" w:cs="Calibri"/>
          <w:i/>
          <w:iCs/>
          <w:color w:val="444444"/>
        </w:rPr>
        <w:t>Memahami bahwa pemulihan bukan proses linear membebaskan tenaga kesehatan dari ekspektasi keliru bahwa Pasien "seharusnya sudah membaik" pada jangka waktu tertentu.</w:t>
      </w:r>
    </w:p>
    <w:p>
      <w:pPr>
        <w:pStyle w:val="Normal"/>
        <w:spacing w:lineRule="exact" w:line="276" w:before="0" w:after="160"/>
        <w:rPr/>
      </w:pPr>
      <w:r>
        <w:rPr>
          <w:rFonts w:eastAsia="Calibri" w:cs="Calibri"/>
        </w:rPr>
        <w:t>Pemulihan dari trauma KBG umumnya dipahami melalui tahapan yang tidak selalu linier: tahap stabilisasi keselamatan (memastikan keamanan fisik dan dasar kebutuhan hidup terpenuhi), tahap pemrosesan trauma (bekerja melalui ingatan dan makna traumatis, biasanya memerlukan rujukan ke tenaga kesehatan jiwa terlatih), dan tahap rekoneksi (membangun kembali relasi sosial dan identitas di luar identitas sebagai korban). Peran Subspesialis Obginsos dan jejaring layanan masyarakat terutama signifikan pada tahap stabilisasi dan sebagai jembatan rujukan menuju tahap pemrosesan trauma, sementara tahap rekoneksi memerlukan dukungan komunitas dan kelompok sebaya yang berkelanjutan.</w:t>
      </w:r>
    </w:p>
    <w:p>
      <w:pPr>
        <w:pStyle w:val="Normal"/>
        <w:pBdr>
          <w:left w:val="single" w:sz="24" w:space="8" w:color="2C3A64"/>
        </w:pBdr>
        <w:shd w:val="clear" w:fill="EAEDF4"/>
        <w:spacing w:before="0" w:after="60"/>
        <w:ind w:left="200"/>
        <w:rPr/>
      </w:pPr>
      <w:r>
        <w:rPr>
          <w:rFonts w:eastAsia="Calibri" w:cs="Calibri"/>
          <w:b/>
          <w:bCs/>
          <w:color w:val="2C3A64"/>
          <w:sz w:val="20"/>
          <w:szCs w:val="20"/>
        </w:rPr>
        <w:t>CATATAN KLINIS</w:t>
      </w:r>
    </w:p>
    <w:p>
      <w:pPr>
        <w:pStyle w:val="Normal"/>
        <w:pBdr>
          <w:left w:val="single" w:sz="24" w:space="8" w:color="2C3A64"/>
        </w:pBdr>
        <w:shd w:val="clear" w:fill="EAEDF4"/>
        <w:spacing w:lineRule="exact" w:line="276" w:before="0" w:after="200"/>
        <w:ind w:left="200"/>
        <w:rPr/>
      </w:pPr>
      <w:r>
        <w:rPr>
          <w:rFonts w:eastAsia="Calibri" w:cs="Calibri"/>
        </w:rPr>
        <w:t>Pendampingan yang efektif tidak memaksa penyintas melalui tahapan secara linier atau dalam kerangka waktu tertentu. Penyintas dapat kembali ke tahap stabilisasi berulang kali, misalnya ketika menghadapi proses hukum yang berkepanjangan atau kontak ulang dengan pelaku (misalnya terkait hak asuh anak).</w:t>
      </w:r>
    </w:p>
    <w:p>
      <w:pPr>
        <w:pStyle w:val="Normal"/>
        <w:pBdr>
          <w:left w:val="single" w:sz="24" w:space="8" w:color="2E6F6E"/>
        </w:pBdr>
        <w:shd w:val="clear" w:fill="E6F0EF"/>
        <w:spacing w:before="0" w:after="60"/>
        <w:ind w:left="200"/>
        <w:rPr/>
      </w:pPr>
      <w:r>
        <w:rPr>
          <w:rFonts w:eastAsia="Calibri" w:cs="Calibri"/>
          <w:b/>
          <w:bCs/>
          <w:color w:val="2E6F6E"/>
          <w:sz w:val="20"/>
          <w:szCs w:val="20"/>
        </w:rPr>
        <w:t>ILUSTRASI PENERAPAN</w:t>
      </w:r>
    </w:p>
    <w:p>
      <w:pPr>
        <w:pStyle w:val="Normal"/>
        <w:pBdr>
          <w:left w:val="single" w:sz="24" w:space="8" w:color="2E6F6E"/>
        </w:pBdr>
        <w:shd w:val="clear" w:fill="E6F0EF"/>
        <w:spacing w:lineRule="exact" w:line="276" w:before="0" w:after="200"/>
        <w:ind w:left="200"/>
        <w:rPr/>
      </w:pPr>
      <w:r>
        <w:rPr>
          <w:rFonts w:eastAsia="Calibri" w:cs="Calibri"/>
        </w:rPr>
        <w:t>Seorang penyintas yang telah berada di tahap rekoneksi — aktif kembali bekerja dan bersosialisasi — tiba-tiba kembali menunjukkan gejala kecemasan berat setelah menerima panggilan sidang hak asuh anak yang mengharuskannya bertemu kembali dengan pelaku. Pendamping tidak menganggap ini "kemunduran," melainkan respons wajar yang memerlukan kembalinya fokus pada stabilisasi keselamatan untuk sementara.</w:t>
      </w:r>
    </w:p>
    <w:p>
      <w:pPr>
        <w:pStyle w:val="Heading2"/>
        <w:spacing w:before="320" w:after="160"/>
        <w:rPr/>
      </w:pPr>
      <w:bookmarkStart w:id="69" w:name="__RefHeading___Toc703_3416633461"/>
      <w:bookmarkEnd w:id="69"/>
      <w:r>
        <w:rPr/>
        <w:t>6.3 Kolaborasi dengan Layanan Kesehatan Jiwa</w:t>
      </w:r>
    </w:p>
    <w:p>
      <w:pPr>
        <w:pStyle w:val="Normal"/>
        <w:spacing w:lineRule="exact" w:line="276" w:before="0" w:after="160"/>
        <w:rPr/>
      </w:pPr>
      <w:r>
        <w:rPr>
          <w:rFonts w:eastAsia="Calibri" w:cs="Calibri"/>
          <w:i/>
          <w:iCs/>
          <w:color w:val="444444"/>
        </w:rPr>
        <w:t>Pendampingan psikososial yang baik akan mencapai batasnya bila tidak terhubung dengan layanan kesehatan jiwa profesional — sebuah jembatan rujukan yang harus dibangun sebelum dibutuhkan secara mendesak.</w:t>
      </w:r>
    </w:p>
    <w:p>
      <w:pPr>
        <w:pStyle w:val="Normal"/>
        <w:spacing w:lineRule="exact" w:line="276" w:before="0" w:after="160"/>
        <w:rPr/>
      </w:pPr>
      <w:r>
        <w:rPr>
          <w:rFonts w:eastAsia="Calibri" w:cs="Calibri"/>
        </w:rPr>
        <w:t>Pendampingan psikososial jangka panjang memerlukan jejaring rujukan yang jelas ke layanan kesehatan jiwa — psikolog, psikiater, atau tenaga kesehatan jiwa masyarakat terlatih — mengingat prevalensi tinggi gangguan stres pascatrauma, depresi, dan ansietas pada penyintas KBG. Pembahasan rinci mengenai kesehatan mental perinatal dan jejaring rujukan kesehatan jiwa berbasis wilayah merupakan fokus utama buku MS-3 dalam seri ini; bab ini menekankan titik temu spesifik antara pendampingan pascakekerasan dan kebutuhan kesehatan jiwa penyintas, termasuk kewaspadaan terhadap risiko bunuh diri yang meningkat pada penyintas KBG dengan gangguan kesehatan jiwa penyerta.</w:t>
      </w:r>
    </w:p>
    <w:p>
      <w:pPr>
        <w:pStyle w:val="Normal"/>
        <w:pBdr>
          <w:left w:val="single" w:sz="24" w:space="8" w:color="2E6F6E"/>
        </w:pBdr>
        <w:shd w:val="clear" w:fill="E6F0EF"/>
        <w:spacing w:before="0" w:after="60"/>
        <w:ind w:left="200"/>
        <w:rPr/>
      </w:pPr>
      <w:r>
        <w:rPr>
          <w:rFonts w:eastAsia="Calibri" w:cs="Calibri"/>
          <w:b/>
          <w:bCs/>
          <w:color w:val="2E6F6E"/>
          <w:sz w:val="20"/>
          <w:szCs w:val="20"/>
        </w:rPr>
        <w:t>ILUSTRASI PENERAPAN</w:t>
      </w:r>
    </w:p>
    <w:p>
      <w:pPr>
        <w:pStyle w:val="Normal"/>
        <w:pBdr>
          <w:left w:val="single" w:sz="24" w:space="8" w:color="2E6F6E"/>
        </w:pBdr>
        <w:shd w:val="clear" w:fill="E6F0EF"/>
        <w:spacing w:lineRule="exact" w:line="276" w:before="0" w:after="200"/>
        <w:ind w:left="200"/>
        <w:rPr/>
      </w:pPr>
      <w:r>
        <w:rPr>
          <w:rFonts w:eastAsia="Calibri" w:cs="Calibri"/>
        </w:rPr>
        <w:t>Seorang bidan menyadari Pasien penyintas KDRT yang didampinginya mulai menunjukkan tanda putus asa dan berbicara tentang "tidak ada gunanya lagi." Alih-alih mencoba menangani sendiri, bidan segera menghubungi jejaring rujukan kesehatan jiwa yang telah disiapkan sebelumnya dan mendampingi Pasien mengakses layanan psikiater dalam 24 jam.</w:t>
      </w:r>
    </w:p>
    <w:p>
      <w:pPr>
        <w:pStyle w:val="Heading2"/>
        <w:spacing w:before="320" w:after="160"/>
        <w:rPr/>
      </w:pPr>
      <w:bookmarkStart w:id="70" w:name="__RefHeading___Toc705_3416633461"/>
      <w:bookmarkEnd w:id="70"/>
      <w:r>
        <w:rPr/>
        <w:t>6.4 Dukungan Kelompok Sebaya dan Pemberdayaan Ekonomi</w:t>
      </w:r>
    </w:p>
    <w:p>
      <w:pPr>
        <w:pStyle w:val="Normal"/>
        <w:spacing w:lineRule="exact" w:line="276" w:before="0" w:after="160"/>
        <w:rPr/>
      </w:pPr>
      <w:r>
        <w:rPr>
          <w:rFonts w:eastAsia="Calibri" w:cs="Calibri"/>
          <w:i/>
          <w:iCs/>
          <w:color w:val="444444"/>
        </w:rPr>
        <w:t>Konseling individual penting, namun ada sesuatu yang hanya bisa diberikan oleh sesama penyintas — pengakuan "saya juga pernah mengalami ini" yang tidak bisa ditiru oleh tenaga profesional sekalipun.</w:t>
      </w:r>
    </w:p>
    <w:p>
      <w:pPr>
        <w:pStyle w:val="Normal"/>
        <w:spacing w:lineRule="exact" w:line="276" w:before="0" w:after="160"/>
        <w:rPr/>
      </w:pPr>
      <w:r>
        <w:rPr>
          <w:rFonts w:eastAsia="Calibri" w:cs="Calibri"/>
        </w:rPr>
        <w:t>Kelompok dukungan sebaya (*peer support group*) bagi penyintas KBG memberikan manfaat unik yang tidak dapat digantikan sepenuhnya oleh konseling individual: validasi pengalaman melalui berbagi kisah dengan sesama penyintas, pengurangan isolasi sosial yang sering menjadi bagian dari kontrol koersif yang dialami sebelumnya, dan pembelajaran strategi koping dari sesama penyintas yang telah melalui tahap pemulihan lebih lanjut.</w:t>
      </w:r>
    </w:p>
    <w:p>
      <w:pPr>
        <w:pStyle w:val="Normal"/>
        <w:spacing w:lineRule="exact" w:line="276" w:before="0" w:after="160"/>
        <w:rPr/>
      </w:pPr>
      <w:r>
        <w:rPr>
          <w:rFonts w:eastAsia="Calibri" w:cs="Calibri"/>
        </w:rPr>
        <w:t>Pemberdayaan ekonomi juga menjadi komponen krusial pendampingan jangka panjang, mengingat ketergantungan ekonomi sering menjadi faktor yang mempersulit penyintas keluar dari relasi kekerasan maupun bertahan pascaperpisahan. Kolaborasi dengan program pemberdayaan ekonomi perempuan tingkat desa/kelurahan, pelatihan keterampilan kerja, dan akses terhadap skema bantuan sosial merupakan bagian integral dari rencana pendampingan komprehensif, meskipun implementasinya memerlukan kolaborasi lintas sektor yang dibahas lebih rinci pada buku MS-4 dalam seri ini.</w:t>
      </w:r>
    </w:p>
    <w:p>
      <w:pPr>
        <w:pStyle w:val="Normal"/>
        <w:pBdr>
          <w:left w:val="single" w:sz="24" w:space="8" w:color="2E6F6E"/>
        </w:pBdr>
        <w:shd w:val="clear" w:fill="E6F0EF"/>
        <w:spacing w:before="0" w:after="60"/>
        <w:ind w:left="200"/>
        <w:rPr/>
      </w:pPr>
      <w:r>
        <w:rPr>
          <w:rFonts w:eastAsia="Calibri" w:cs="Calibri"/>
          <w:b/>
          <w:bCs/>
          <w:color w:val="2E6F6E"/>
          <w:sz w:val="20"/>
          <w:szCs w:val="20"/>
        </w:rPr>
        <w:t>ILUSTRASI PENERAPAN</w:t>
      </w:r>
    </w:p>
    <w:p>
      <w:pPr>
        <w:pStyle w:val="Normal"/>
        <w:pBdr>
          <w:left w:val="single" w:sz="24" w:space="8" w:color="2E6F6E"/>
        </w:pBdr>
        <w:shd w:val="clear" w:fill="E6F0EF"/>
        <w:spacing w:lineRule="exact" w:line="276" w:before="0" w:after="200"/>
        <w:ind w:left="200"/>
        <w:rPr/>
      </w:pPr>
      <w:r>
        <w:rPr>
          <w:rFonts w:eastAsia="Calibri" w:cs="Calibri"/>
        </w:rPr>
        <w:t>Seorang penyintas yang awalnya menolak mengikuti kelompok dukungan karena merasa malu, akhirnya bersedia hadir setelah diperkenalkan oleh penyintas lain yang telah lebih dulu bergabung. Dalam kelompok tersebut, ia belajar keterampilan menjahit dari sesama anggota dan perlahan membangun sumber penghasilan mandiri — sesuatu yang tidak pernah tercapai hanya melalui sesi konseling individual dengan psikolog.</w:t>
      </w:r>
    </w:p>
    <w:p>
      <w:pPr>
        <w:pStyle w:val="Heading2"/>
        <w:spacing w:before="320" w:after="160"/>
        <w:rPr/>
      </w:pPr>
      <w:bookmarkStart w:id="71" w:name="__RefHeading___Toc707_3416633461"/>
      <w:bookmarkEnd w:id="71"/>
      <w:r>
        <w:rPr/>
        <w:t>6.5 Pendampingan bagi Anak yang Terpapar KBG</w:t>
      </w:r>
    </w:p>
    <w:p>
      <w:pPr>
        <w:pStyle w:val="Normal"/>
        <w:spacing w:lineRule="exact" w:line="276" w:before="0" w:after="160"/>
        <w:rPr/>
      </w:pPr>
      <w:r>
        <w:rPr>
          <w:rFonts w:eastAsia="Calibri" w:cs="Calibri"/>
          <w:i/>
          <w:iCs/>
          <w:color w:val="444444"/>
        </w:rPr>
        <w:t>Fokus pada penyintas dewasa bisa membuat kebutuhan anak dalam rumah tangga yang sama tanpa sadar terlewat — padahal merekalah yang paling berisiko mewarisi pola kekerasan ke generasi berikutnya bila tidak didampingi.</w:t>
      </w:r>
    </w:p>
    <w:p>
      <w:pPr>
        <w:pStyle w:val="Normal"/>
        <w:spacing w:lineRule="exact" w:line="276" w:before="0" w:after="160"/>
        <w:rPr/>
      </w:pPr>
      <w:r>
        <w:rPr>
          <w:rFonts w:eastAsia="Calibri" w:cs="Calibri"/>
        </w:rPr>
        <w:t>Anak yang tumbuh dalam rumah tangga dengan KDRT — baik sebagai saksi maupun turut menjadi korban langsung — memerlukan perhatian khusus dalam rencana pendampingan jangka panjang keluarga. Dampak paparan KDRT pada anak meliputi gangguan perkembangan emosional, peningkatan risiko masalah perilaku, dan peningkatan risiko menjadi pelaku maupun korban KBG di masa dewasa (siklus antargenerasi). Pendampingan komprehensif penyintas dewasa idealnya diintegrasikan dengan skrining dan rujukan kebutuhan psikososial anak, bekerja sama dengan layanan perlindungan anak setempat.</w:t>
      </w:r>
    </w:p>
    <w:p>
      <w:pPr>
        <w:pStyle w:val="Normal"/>
        <w:pBdr>
          <w:left w:val="single" w:sz="24" w:space="8" w:color="2E6F6E"/>
        </w:pBdr>
        <w:shd w:val="clear" w:fill="E6F0EF"/>
        <w:spacing w:before="0" w:after="60"/>
        <w:ind w:left="200"/>
        <w:rPr/>
      </w:pPr>
      <w:r>
        <w:rPr>
          <w:rFonts w:eastAsia="Calibri" w:cs="Calibri"/>
          <w:b/>
          <w:bCs/>
          <w:color w:val="2E6F6E"/>
          <w:sz w:val="20"/>
          <w:szCs w:val="20"/>
        </w:rPr>
        <w:t>ILUSTRASI PENERAPAN</w:t>
      </w:r>
    </w:p>
    <w:p>
      <w:pPr>
        <w:pStyle w:val="Normal"/>
        <w:pBdr>
          <w:left w:val="single" w:sz="24" w:space="8" w:color="2E6F6E"/>
        </w:pBdr>
        <w:shd w:val="clear" w:fill="E6F0EF"/>
        <w:spacing w:lineRule="exact" w:line="276" w:before="0" w:after="200"/>
        <w:ind w:left="200"/>
        <w:rPr/>
      </w:pPr>
      <w:r>
        <w:rPr>
          <w:rFonts w:eastAsia="Calibri" w:cs="Calibri"/>
        </w:rPr>
        <w:t>Selama mendampingi seorang ibu penyintas KDRT, bidan juga menanyakan bagaimana keadaan anak-anaknya di rumah. Ia menemukan bahwa anak sulung, berusia 9 tahun, mulai menunjukkan perilaku agresif di sekolah — pola yang konsisten dengan dampak paparan KDRT pada anak. Bidan kemudian merujuk anak tersebut ke layanan psikologi anak setempat, bukan hanya berfokus pada ibunya.</w:t>
      </w:r>
    </w:p>
    <w:p>
      <w:pPr>
        <w:pStyle w:val="Heading2"/>
        <w:spacing w:before="320" w:after="160"/>
        <w:rPr/>
      </w:pPr>
      <w:bookmarkStart w:id="72" w:name="__RefHeading___Toc709_3416633461"/>
      <w:bookmarkEnd w:id="72"/>
      <w:r>
        <w:rPr/>
        <w:t>6.6 Kesinambungan Layanan dan Manajemen Kasus</w:t>
      </w:r>
    </w:p>
    <w:p>
      <w:pPr>
        <w:pStyle w:val="Normal"/>
        <w:spacing w:lineRule="exact" w:line="276" w:before="0" w:after="160"/>
        <w:rPr/>
      </w:pPr>
      <w:r>
        <w:rPr>
          <w:rFonts w:eastAsia="Calibri" w:cs="Calibri"/>
          <w:i/>
          <w:iCs/>
          <w:color w:val="444444"/>
        </w:rPr>
        <w:t>Betapapun baiknya rencana pendampingan, ia akan runtuh bila terputus setiap kali ada rotasi petugas — kesinambungan harus dirancang secara sistemik, bukan bergantung pada ingatan satu orang saja.</w:t>
      </w:r>
    </w:p>
    <w:p>
      <w:pPr>
        <w:pStyle w:val="Normal"/>
        <w:spacing w:lineRule="exact" w:line="276" w:before="0" w:after="160"/>
        <w:rPr/>
      </w:pPr>
      <w:r>
        <w:rPr>
          <w:rFonts w:eastAsia="Calibri" w:cs="Calibri"/>
        </w:rPr>
        <w:t>Pendampingan jangka panjang yang efektif memerlukan mekanisme manajemen kasus (*case management*) yang jelas: penunjukan satu petugas atau tim sebagai koordinator kasus untuk menghindari fragmentasi layanan antarsektor, jadwal tindak lanjut berkala yang terdokumentasi (bukan bergantung pada inisiatif penyintas untuk kembali mencari layanan), dan mekanisme transfer informasi yang aman antarpetugas ketika terjadi rotasi tenaga kesehatan atau kader, dengan tetap menjaga prinsip kerahasiaan sebagaimana dibahas pada Bab 5.</w:t>
      </w:r>
    </w:p>
    <w:p>
      <w:pPr>
        <w:pStyle w:val="Normal"/>
        <w:pBdr>
          <w:left w:val="single" w:sz="24" w:space="8" w:color="A9812F"/>
        </w:pBdr>
        <w:shd w:val="clear" w:fill="F7F0E1"/>
        <w:spacing w:before="0" w:after="60"/>
        <w:ind w:left="200"/>
        <w:rPr/>
      </w:pPr>
      <w:r>
        <w:rPr>
          <w:rFonts w:eastAsia="Calibri" w:cs="Calibri"/>
          <w:b/>
          <w:bCs/>
          <w:color w:val="A9812F"/>
          <w:sz w:val="20"/>
          <w:szCs w:val="20"/>
        </w:rPr>
        <w:t>DASAR HUKUM</w:t>
      </w:r>
    </w:p>
    <w:p>
      <w:pPr>
        <w:pStyle w:val="Normal"/>
        <w:pBdr>
          <w:left w:val="single" w:sz="24" w:space="8" w:color="A9812F"/>
        </w:pBdr>
        <w:shd w:val="clear" w:fill="F7F0E1"/>
        <w:spacing w:lineRule="exact" w:line="276" w:before="0" w:after="200"/>
        <w:ind w:left="200"/>
        <w:rPr/>
      </w:pPr>
      <w:r>
        <w:rPr>
          <w:rFonts w:eastAsia="Calibri" w:cs="Calibri"/>
        </w:rPr>
        <w:t>Kesinambungan pendampingan dan pelindungan data Pasien dalam manajemen kasus jangka panjang tetap tunduk pada prinsip pelindungan data pribadi sesuai Undang-Undang Nomor 27 Tahun 2022, termasuk ketika informasi ditransfer antarpetugas atau antarfasilitas layanan.</w:t>
      </w:r>
    </w:p>
    <w:p>
      <w:pPr>
        <w:pStyle w:val="Normal"/>
        <w:pBdr>
          <w:left w:val="single" w:sz="24" w:space="8" w:color="2E6F6E"/>
        </w:pBdr>
        <w:shd w:val="clear" w:fill="E6F0EF"/>
        <w:spacing w:before="0" w:after="60"/>
        <w:ind w:left="200"/>
        <w:rPr/>
      </w:pPr>
      <w:r>
        <w:rPr>
          <w:rFonts w:eastAsia="Calibri" w:cs="Calibri"/>
          <w:b/>
          <w:bCs/>
          <w:color w:val="2E6F6E"/>
          <w:sz w:val="20"/>
          <w:szCs w:val="20"/>
        </w:rPr>
        <w:t>ILUSTRASI PENERAPAN</w:t>
      </w:r>
    </w:p>
    <w:p>
      <w:pPr>
        <w:pStyle w:val="Normal"/>
        <w:pBdr>
          <w:left w:val="single" w:sz="24" w:space="8" w:color="2E6F6E"/>
        </w:pBdr>
        <w:shd w:val="clear" w:fill="E6F0EF"/>
        <w:spacing w:lineRule="exact" w:line="276" w:before="0" w:after="200"/>
        <w:ind w:left="200"/>
        <w:rPr/>
      </w:pPr>
      <w:r>
        <w:rPr>
          <w:rFonts w:eastAsia="Calibri" w:cs="Calibri"/>
        </w:rPr>
        <w:t>Ketika bidan yang mendampingi seorang Pasien dimutasi ke Puskesmas lain, kasus tersebut tidak hilang begitu saja karena sistem manajemen kasus telah mendokumentasikan riwayat pendampingan secara terstruktur dan aman. Bidan pengganti dapat melanjutkan pendampingan tanpa Pasien harus menceritakan ulang seluruh riwayatnya dari awal.</w:t>
      </w:r>
    </w:p>
    <w:p>
      <w:pPr>
        <w:pStyle w:val="Heading2"/>
        <w:spacing w:before="320" w:after="160"/>
        <w:rPr/>
      </w:pPr>
      <w:bookmarkStart w:id="73" w:name="__RefHeading___Toc711_3416633461"/>
      <w:bookmarkEnd w:id="73"/>
      <w:r>
        <w:rPr/>
        <w:t>6.7 Evaluasi Keberhasilan Pendampingan</w:t>
      </w:r>
    </w:p>
    <w:p>
      <w:pPr>
        <w:pStyle w:val="Normal"/>
        <w:spacing w:lineRule="exact" w:line="276" w:before="0" w:after="160"/>
        <w:rPr/>
      </w:pPr>
      <w:r>
        <w:rPr>
          <w:rFonts w:eastAsia="Calibri" w:cs="Calibri"/>
          <w:i/>
          <w:iCs/>
          <w:color w:val="444444"/>
        </w:rPr>
        <w:t>Bagaimana kita tahu bahwa pendampingan yang diberikan benar-benar berhasil? Jawabannya jauh lebih rumit — dan lebih manusiawi — daripada sekadar "apakah Pasien sudah meninggalkan pelakunya."</w:t>
      </w:r>
    </w:p>
    <w:p>
      <w:pPr>
        <w:pStyle w:val="Normal"/>
        <w:spacing w:lineRule="exact" w:line="276" w:before="0" w:after="160"/>
        <w:rPr/>
      </w:pPr>
      <w:r>
        <w:rPr>
          <w:rFonts w:eastAsia="Calibri" w:cs="Calibri"/>
        </w:rPr>
        <w:t>Keberhasilan pendampingan psikososial jangka panjang tidak diukur semata dari keluarnya penyintas dari relasi kekerasan — ukuran yang terlalu sempit dan berpotensi menghakimi penyintas yang memilih tetap dalam relasi. Indikator yang lebih bermakna secara klinis meliputi: peningkatan kapasitas penyintas mengenali tanda risiko dan mengakses dukungan saat dibutuhkan, penurunan gejala kesehatan jiwa terkait trauma, peningkatan jejaring dukungan sosial penyintas, dan — bila relevan — keamanan dan kesejahteraan anak dalam rumah tangga tersebut.</w:t>
      </w:r>
    </w:p>
    <w:p>
      <w:pPr>
        <w:pStyle w:val="Normal"/>
        <w:pBdr>
          <w:left w:val="single" w:sz="24" w:space="8" w:color="2E6F6E"/>
        </w:pBdr>
        <w:shd w:val="clear" w:fill="E6F0EF"/>
        <w:spacing w:before="0" w:after="60"/>
        <w:ind w:left="200"/>
        <w:rPr/>
      </w:pPr>
      <w:r>
        <w:rPr>
          <w:rFonts w:eastAsia="Calibri" w:cs="Calibri"/>
          <w:b/>
          <w:bCs/>
          <w:color w:val="2E6F6E"/>
          <w:sz w:val="20"/>
          <w:szCs w:val="20"/>
        </w:rPr>
        <w:t>ILUSTRASI PENERAPAN</w:t>
      </w:r>
    </w:p>
    <w:p>
      <w:pPr>
        <w:pStyle w:val="Normal"/>
        <w:pBdr>
          <w:left w:val="single" w:sz="24" w:space="8" w:color="2E6F6E"/>
        </w:pBdr>
        <w:shd w:val="clear" w:fill="E6F0EF"/>
        <w:spacing w:lineRule="exact" w:line="276" w:before="0" w:after="200"/>
        <w:ind w:left="200"/>
        <w:rPr/>
      </w:pPr>
      <w:r>
        <w:rPr>
          <w:rFonts w:eastAsia="Calibri" w:cs="Calibri"/>
        </w:rPr>
        <w:t>Seorang penyintas yang masih tinggal bersama pelaku dua tahun setelah pendampingan dimulai awalnya dianggap "kasus gagal" oleh petugas baru. Namun tinjauan riwayat pendampingan menunjukkan bahwa Pasien kini memiliki rencana keselamatan yang jelas, telah membangun tabungan mandiri, mengenali tanda eskalasi kekerasan lebih dini, dan aktif dalam kelompok dukungan sebaya — indikator keberhasilan nyata meskipun status relasinya belum berubah.</w:t>
      </w:r>
    </w:p>
    <w:p>
      <w:pPr>
        <w:pStyle w:val="Heading3"/>
        <w:spacing w:before="320" w:after="160"/>
        <w:rPr/>
      </w:pPr>
      <w:bookmarkStart w:id="74" w:name="__RefHeading___Toc713_3416633461"/>
      <w:bookmarkEnd w:id="74"/>
      <w:r>
        <w:rPr/>
        <w:t>Ringkasan Poin Kunci</w:t>
      </w:r>
    </w:p>
    <w:p>
      <w:pPr>
        <w:pStyle w:val="Normal"/>
        <w:spacing w:lineRule="exact" w:line="276" w:before="0" w:after="100"/>
        <w:ind w:hanging="260" w:left="400"/>
        <w:rPr/>
      </w:pPr>
      <w:r>
        <w:rPr>
          <w:rFonts w:eastAsia="Calibri" w:cs="Calibri"/>
        </w:rPr>
        <w:t xml:space="preserve">• </w:t>
      </w:r>
      <w:r>
        <w:rPr>
          <w:rFonts w:eastAsia="Calibri" w:cs="Calibri"/>
        </w:rPr>
        <w:t>Pendampingan psikososial jangka panjang bersifat esensial, melampaui respons krisis akut, dan tidak selalu mengikuti tahapan pemulihan yang linier.</w:t>
      </w:r>
    </w:p>
    <w:p>
      <w:pPr>
        <w:pStyle w:val="Normal"/>
        <w:spacing w:lineRule="exact" w:line="276" w:before="0" w:after="100"/>
        <w:ind w:hanging="260" w:left="400"/>
        <w:rPr/>
      </w:pPr>
      <w:r>
        <w:rPr>
          <w:rFonts w:eastAsia="Calibri" w:cs="Calibri"/>
        </w:rPr>
        <w:t xml:space="preserve">• </w:t>
      </w:r>
      <w:r>
        <w:rPr>
          <w:rFonts w:eastAsia="Calibri" w:cs="Calibri"/>
        </w:rPr>
        <w:t>Kolaborasi dengan layanan kesehatan jiwa penting mengingat prevalensi tinggi gangguan stres pascatrauma dan risiko bunuh diri pada penyintas.</w:t>
      </w:r>
    </w:p>
    <w:p>
      <w:pPr>
        <w:pStyle w:val="Normal"/>
        <w:spacing w:lineRule="exact" w:line="276" w:before="0" w:after="100"/>
        <w:ind w:hanging="260" w:left="400"/>
        <w:rPr/>
      </w:pPr>
      <w:r>
        <w:rPr>
          <w:rFonts w:eastAsia="Calibri" w:cs="Calibri"/>
        </w:rPr>
        <w:t xml:space="preserve">• </w:t>
      </w:r>
      <w:r>
        <w:rPr>
          <w:rFonts w:eastAsia="Calibri" w:cs="Calibri"/>
        </w:rPr>
        <w:t>Dukungan kelompok sebaya dan pemberdayaan ekonomi adalah komponen integral pendampingan komprehensif.</w:t>
      </w:r>
    </w:p>
    <w:p>
      <w:pPr>
        <w:pStyle w:val="Normal"/>
        <w:spacing w:lineRule="exact" w:line="276" w:before="0" w:after="100"/>
        <w:ind w:hanging="260" w:left="400"/>
        <w:rPr/>
      </w:pPr>
      <w:r>
        <w:rPr>
          <w:rFonts w:eastAsia="Calibri" w:cs="Calibri"/>
        </w:rPr>
        <w:t xml:space="preserve">• </w:t>
      </w:r>
      <w:r>
        <w:rPr>
          <w:rFonts w:eastAsia="Calibri" w:cs="Calibri"/>
        </w:rPr>
        <w:t>Anak yang terpapar KDRT memerlukan perhatian khusus untuk memutus siklus kekerasan antargenerasi.</w:t>
      </w:r>
    </w:p>
    <w:p>
      <w:pPr>
        <w:pStyle w:val="Normal"/>
        <w:spacing w:lineRule="exact" w:line="276" w:before="0" w:after="100"/>
        <w:ind w:hanging="260" w:left="400"/>
        <w:rPr/>
      </w:pPr>
      <w:r>
        <w:rPr>
          <w:rFonts w:eastAsia="Calibri" w:cs="Calibri"/>
        </w:rPr>
        <w:t xml:space="preserve">• </w:t>
      </w:r>
      <w:r>
        <w:rPr>
          <w:rFonts w:eastAsia="Calibri" w:cs="Calibri"/>
        </w:rPr>
        <w:t>Keberhasilan pendampingan diukur dari kapasitas dan kesejahteraan penyintas, bukan semata dari status keluar-tidaknya dari relasi kekerasan.</w:t>
      </w:r>
    </w:p>
    <w:p>
      <w:pPr>
        <w:pStyle w:val="Heading3"/>
        <w:spacing w:before="320" w:after="160"/>
        <w:rPr/>
      </w:pPr>
      <w:bookmarkStart w:id="75" w:name="__RefHeading___Toc715_3416633461"/>
      <w:bookmarkEnd w:id="75"/>
      <w:r>
        <w:rPr/>
        <w:t>Vignette</w:t>
      </w:r>
    </w:p>
    <w:p>
      <w:pPr>
        <w:pStyle w:val="Normal"/>
        <w:spacing w:lineRule="exact" w:line="276" w:before="0" w:after="160"/>
        <w:rPr/>
      </w:pPr>
      <w:r>
        <w:rPr>
          <w:rFonts w:eastAsia="Calibri" w:cs="Calibri"/>
        </w:rPr>
        <w:t>Seorang penyintas KDRT yang telah berpisah dari suaminya dua tahun lalu kembali menghubungi bidan Puskesmas karena mengalami kecemasan berat menjelang sidang hak asuh anak. Melalui manajemen kasus yang terdokumentasi sejak awal pendampingan, bidan dapat segera menghubungkan Pasien kembali dengan psikolog yang sebelumnya pernah menangani kasusnya, tanpa Pasien harus menjelaskan ulang seluruh riwayat dari awal kepada tenaga baru.</w:t>
      </w:r>
    </w:p>
    <w:p>
      <w:pPr>
        <w:pStyle w:val="Heading3"/>
        <w:spacing w:before="320" w:after="160"/>
        <w:rPr/>
      </w:pPr>
      <w:bookmarkStart w:id="76" w:name="__RefHeading___Toc717_3416633461"/>
      <w:bookmarkEnd w:id="76"/>
      <w:r>
        <w:rPr/>
        <w:t>Pertanyaan Refleksi</w:t>
      </w:r>
    </w:p>
    <w:p>
      <w:pPr>
        <w:pStyle w:val="Normal"/>
        <w:spacing w:lineRule="exact" w:line="276" w:before="0" w:after="100"/>
        <w:ind w:hanging="260" w:left="400"/>
        <w:rPr/>
      </w:pPr>
      <w:r>
        <w:rPr>
          <w:rFonts w:eastAsia="Calibri" w:cs="Calibri"/>
        </w:rPr>
        <w:t>1. Bagaimana Anda akan merancang sistem manajemen kasus sederhana di layanan tempat Anda bertugas agar pendampingan penyintas KBG tidak terputus akibat rotasi petugas?</w:t>
      </w:r>
    </w:p>
    <w:p>
      <w:pPr>
        <w:pStyle w:val="Normal"/>
        <w:spacing w:lineRule="exact" w:line="276" w:before="0" w:after="100"/>
        <w:ind w:hanging="260" w:left="400"/>
        <w:rPr/>
      </w:pPr>
      <w:r>
        <w:rPr>
          <w:rFonts w:eastAsia="Calibri" w:cs="Calibri"/>
        </w:rPr>
        <w:t>2. Mengapa "keluar dari relasi kekerasan" bukan satu-satunya indikator keberhasilan pendampingan psikososial, dan indikator alternatif apa yang lebih tepat digunakan?</w:t>
      </w:r>
    </w:p>
    <w:p>
      <w:pPr>
        <w:pStyle w:val="Normal"/>
        <w:rPr/>
      </w:pPr>
      <w:r>
        <w:rPr/>
      </w:r>
      <w:r>
        <w:br w:type="page"/>
      </w:r>
    </w:p>
    <w:p>
      <w:pPr>
        <w:pStyle w:val="Heading1"/>
        <w:spacing w:before="0" w:after="160"/>
        <w:rPr/>
      </w:pPr>
      <w:bookmarkStart w:id="77" w:name="__RefHeading___Toc719_3416633461"/>
      <w:bookmarkEnd w:id="77"/>
      <w:r>
        <w:rPr/>
        <w:t>Glosarium</w:t>
      </w:r>
    </w:p>
    <w:p>
      <w:pPr>
        <w:pStyle w:val="Normal"/>
        <w:spacing w:lineRule="exact" w:line="276" w:before="0" w:after="140"/>
        <w:rPr/>
      </w:pPr>
      <w:r>
        <w:rPr>
          <w:rFonts w:eastAsia="Calibri" w:cs="Calibri"/>
          <w:b/>
          <w:bCs/>
        </w:rPr>
        <w:t>Coercive Control (Kontrol Koersif)</w:t>
      </w:r>
      <w:r>
        <w:rPr>
          <w:rFonts w:eastAsia="Calibri" w:cs="Calibri"/>
        </w:rPr>
        <w:t xml:space="preserve"> — Pola berkelanjutan intimidasi, isolasi, kontrol finansial, dan degradasi psikologis oleh pelaku terhadap korban, di mana kekerasan fisik hanya salah satu instrumen kontrol di antara banyak instrumen lainnya.</w:t>
      </w:r>
    </w:p>
    <w:p>
      <w:pPr>
        <w:pStyle w:val="Normal"/>
        <w:spacing w:lineRule="exact" w:line="276" w:before="0" w:after="140"/>
        <w:rPr/>
      </w:pPr>
      <w:r>
        <w:rPr>
          <w:rFonts w:eastAsia="Calibri" w:cs="Calibri"/>
          <w:b/>
          <w:bCs/>
        </w:rPr>
        <w:t>Dokumentasi Forensik Dasar</w:t>
      </w:r>
      <w:r>
        <w:rPr>
          <w:rFonts w:eastAsia="Calibri" w:cs="Calibri"/>
        </w:rPr>
        <w:t xml:space="preserve"> — Pencatatan objektif-deskriptif temuan klinis pada kasus kekerasan yang dilakukan tenaga kesehatan tanpa memerlukan permintaan resmi penyidik, berbeda dari visum et repertum.</w:t>
      </w:r>
    </w:p>
    <w:p>
      <w:pPr>
        <w:pStyle w:val="Normal"/>
        <w:spacing w:lineRule="exact" w:line="276" w:before="0" w:after="140"/>
        <w:rPr/>
      </w:pPr>
      <w:r>
        <w:rPr>
          <w:rFonts w:eastAsia="Calibri" w:cs="Calibri"/>
          <w:b/>
          <w:bCs/>
        </w:rPr>
        <w:t>Eksploitasi Berbasis Gender</w:t>
      </w:r>
      <w:r>
        <w:rPr>
          <w:rFonts w:eastAsia="Calibri" w:cs="Calibri"/>
        </w:rPr>
        <w:t xml:space="preserve"> — Bentuk KBG yang mencakup perdagangan orang, eksploitasi seksual komersial, perkawinan anak yang dipaksakan, dan kontrol koersif ekonomi yang membatasi otonomi reproduksi korban.</w:t>
      </w:r>
    </w:p>
    <w:p>
      <w:pPr>
        <w:pStyle w:val="Normal"/>
        <w:spacing w:lineRule="exact" w:line="276" w:before="0" w:after="140"/>
        <w:rPr/>
      </w:pPr>
      <w:r>
        <w:rPr>
          <w:rFonts w:eastAsia="Calibri" w:cs="Calibri"/>
          <w:b/>
          <w:bCs/>
        </w:rPr>
        <w:t>Femisida</w:t>
      </w:r>
      <w:r>
        <w:rPr>
          <w:rFonts w:eastAsia="Calibri" w:cs="Calibri"/>
        </w:rPr>
        <w:t xml:space="preserve"> — Pembunuhan perempuan yang dilatarbelakangi relasi gender yang timpang, dengan risiko tertinggi sering terjadi pada fase upaya korban keluar dari relasi kekerasan.</w:t>
      </w:r>
    </w:p>
    <w:p>
      <w:pPr>
        <w:pStyle w:val="Normal"/>
        <w:spacing w:lineRule="exact" w:line="276" w:before="0" w:after="140"/>
        <w:rPr/>
      </w:pPr>
      <w:r>
        <w:rPr>
          <w:rFonts w:eastAsia="Calibri" w:cs="Calibri"/>
          <w:b/>
          <w:bCs/>
        </w:rPr>
        <w:t>Kekerasan Berbasis Gender (KBG)</w:t>
      </w:r>
      <w:r>
        <w:rPr>
          <w:rFonts w:eastAsia="Calibri" w:cs="Calibri"/>
        </w:rPr>
        <w:t xml:space="preserve"> — Setiap tindakan yang mengakibatkan atau berpotensi mengakibatkan penderitaan fisik, seksual, psikologis, atau ekonomi, yang berakar pada relasi kuasa timpang berdasarkan gender.</w:t>
      </w:r>
    </w:p>
    <w:p>
      <w:pPr>
        <w:pStyle w:val="Normal"/>
        <w:spacing w:lineRule="exact" w:line="276" w:before="0" w:after="140"/>
        <w:rPr/>
      </w:pPr>
      <w:r>
        <w:rPr>
          <w:rFonts w:eastAsia="Calibri" w:cs="Calibri"/>
          <w:b/>
          <w:bCs/>
        </w:rPr>
        <w:t>Kekerasan dalam Rumah Tangga (KDRT)</w:t>
      </w:r>
      <w:r>
        <w:rPr>
          <w:rFonts w:eastAsia="Calibri" w:cs="Calibri"/>
        </w:rPr>
        <w:t xml:space="preserve"> — Kekerasan fisik, psikologis, seksual, dan penelantaran ekonomi yang terjadi dalam relasi domestik, umumnya berpola siklikal (ketegangan-ledakan-rekonsiliasi).</w:t>
      </w:r>
    </w:p>
    <w:p>
      <w:pPr>
        <w:pStyle w:val="Normal"/>
        <w:spacing w:lineRule="exact" w:line="276" w:before="0" w:after="140"/>
        <w:rPr/>
      </w:pPr>
      <w:r>
        <w:rPr>
          <w:rFonts w:eastAsia="Calibri" w:cs="Calibri"/>
          <w:b/>
          <w:bCs/>
        </w:rPr>
        <w:t>Kekerasan Seksual</w:t>
      </w:r>
      <w:r>
        <w:rPr>
          <w:rFonts w:eastAsia="Calibri" w:cs="Calibri"/>
        </w:rPr>
        <w:t xml:space="preserve"> — Spektrum tindakan mulai dari pelecehan verbal/nonverbal hingga pemaksaan hubungan seksual dan perkosaan, termasuk dalam relasi perkawinan.</w:t>
      </w:r>
    </w:p>
    <w:p>
      <w:pPr>
        <w:pStyle w:val="Normal"/>
        <w:spacing w:lineRule="exact" w:line="276" w:before="0" w:after="140"/>
        <w:rPr/>
      </w:pPr>
      <w:r>
        <w:rPr>
          <w:rFonts w:eastAsia="Calibri" w:cs="Calibri"/>
          <w:b/>
          <w:bCs/>
        </w:rPr>
        <w:t>Manajemen Kasus (Case Management)</w:t>
      </w:r>
      <w:r>
        <w:rPr>
          <w:rFonts w:eastAsia="Calibri" w:cs="Calibri"/>
        </w:rPr>
        <w:t xml:space="preserve"> — Mekanisme koordinasi pendampingan berkelanjutan penyintas KBG melalui penunjukan koordinator kasus dan jadwal tindak lanjut terdokumentasi.</w:t>
      </w:r>
    </w:p>
    <w:p>
      <w:pPr>
        <w:pStyle w:val="Normal"/>
        <w:spacing w:lineRule="exact" w:line="276" w:before="0" w:after="140"/>
        <w:rPr/>
      </w:pPr>
      <w:r>
        <w:rPr>
          <w:rFonts w:eastAsia="Calibri" w:cs="Calibri"/>
          <w:b/>
          <w:bCs/>
        </w:rPr>
        <w:t>Nondirektif</w:t>
      </w:r>
      <w:r>
        <w:rPr>
          <w:rFonts w:eastAsia="Calibri" w:cs="Calibri"/>
        </w:rPr>
        <w:t xml:space="preserve"> — Prinsip konseling yang menyediakan informasi lengkap tentang opsi yang tersedia bagi Pasien tanpa mendikte pilihan mana yang harus diambil.</w:t>
      </w:r>
    </w:p>
    <w:p>
      <w:pPr>
        <w:pStyle w:val="Normal"/>
        <w:spacing w:lineRule="exact" w:line="276" w:before="0" w:after="140"/>
        <w:rPr/>
      </w:pPr>
      <w:r>
        <w:rPr>
          <w:rFonts w:eastAsia="Calibri" w:cs="Calibri"/>
          <w:b/>
          <w:bCs/>
        </w:rPr>
        <w:t>Obginsos</w:t>
      </w:r>
      <w:r>
        <w:rPr>
          <w:rFonts w:eastAsia="Calibri" w:cs="Calibri"/>
        </w:rPr>
        <w:t xml:space="preserve"> — Singkatan baku untuk Obstetri Ginekologi Sosial.</w:t>
      </w:r>
    </w:p>
    <w:p>
      <w:pPr>
        <w:pStyle w:val="Normal"/>
        <w:spacing w:lineRule="exact" w:line="276" w:before="0" w:after="140"/>
        <w:rPr/>
      </w:pPr>
      <w:r>
        <w:rPr>
          <w:rFonts w:eastAsia="Calibri" w:cs="Calibri"/>
          <w:b/>
          <w:bCs/>
        </w:rPr>
        <w:t>Pasien</w:t>
      </w:r>
      <w:r>
        <w:rPr>
          <w:rFonts w:eastAsia="Calibri" w:cs="Calibri"/>
        </w:rPr>
        <w:t xml:space="preserve"> — Merujuk pada subjek layanan kesehatan reproduksi sosial.</w:t>
      </w:r>
    </w:p>
    <w:p>
      <w:pPr>
        <w:pStyle w:val="Normal"/>
        <w:spacing w:lineRule="exact" w:line="276" w:before="0" w:after="140"/>
        <w:rPr/>
      </w:pPr>
      <w:r>
        <w:rPr>
          <w:rFonts w:eastAsia="Calibri" w:cs="Calibri"/>
          <w:b/>
          <w:bCs/>
        </w:rPr>
        <w:t>Perencanaan Keselamatan (Safety Planning)</w:t>
      </w:r>
      <w:r>
        <w:rPr>
          <w:rFonts w:eastAsia="Calibri" w:cs="Calibri"/>
        </w:rPr>
        <w:t xml:space="preserve"> — Proses kolaboratif antara tenaga kesehatan/pendamping dan Pasien untuk mengidentifikasi langkah konkret meningkatkan keamanan Pasien.</w:t>
      </w:r>
    </w:p>
    <w:p>
      <w:pPr>
        <w:pStyle w:val="Normal"/>
        <w:spacing w:lineRule="exact" w:line="276" w:before="0" w:after="140"/>
        <w:rPr/>
      </w:pPr>
      <w:r>
        <w:rPr>
          <w:rFonts w:eastAsia="Calibri" w:cs="Calibri"/>
          <w:b/>
          <w:bCs/>
        </w:rPr>
        <w:t>Rumah Sakit / RS</w:t>
      </w:r>
      <w:r>
        <w:rPr>
          <w:rFonts w:eastAsia="Calibri" w:cs="Calibri"/>
        </w:rPr>
        <w:t xml:space="preserve"> — Fasilitas pelayanan kesehatan rujukan; disingkat "RS" setelah kemunculan pertama pada tiap bab.</w:t>
      </w:r>
    </w:p>
    <w:p>
      <w:pPr>
        <w:pStyle w:val="Normal"/>
        <w:spacing w:lineRule="exact" w:line="276" w:before="0" w:after="140"/>
        <w:rPr/>
      </w:pPr>
      <w:r>
        <w:rPr>
          <w:rFonts w:eastAsia="Calibri" w:cs="Calibri"/>
          <w:b/>
          <w:bCs/>
        </w:rPr>
        <w:t>Skrining Rutin Universal</w:t>
      </w:r>
      <w:r>
        <w:rPr>
          <w:rFonts w:eastAsia="Calibri" w:cs="Calibri"/>
        </w:rPr>
        <w:t xml:space="preserve"> — Prinsip penanyaan riwayat KBG pada setiap Pasien usia reproduktif di setiap kontak layanan kesehatan reproduksi, bukan hanya pada Pasien yang menunjukkan tanda kecurigaan.</w:t>
      </w:r>
    </w:p>
    <w:p>
      <w:pPr>
        <w:pStyle w:val="Normal"/>
        <w:spacing w:lineRule="exact" w:line="276" w:before="0" w:after="140"/>
        <w:rPr/>
      </w:pPr>
      <w:r>
        <w:rPr>
          <w:rFonts w:eastAsia="Calibri" w:cs="Calibri"/>
          <w:b/>
          <w:bCs/>
        </w:rPr>
        <w:t>Subspesialis Obginsos</w:t>
      </w:r>
      <w:r>
        <w:rPr>
          <w:rFonts w:eastAsia="Calibri" w:cs="Calibri"/>
        </w:rPr>
        <w:t xml:space="preserve"> — Sebutan baku untuk peserta didik/lulusan Program Pendidikan Dokter Subspesialis Obstetri Ginekologi Sosial.</w:t>
      </w:r>
    </w:p>
    <w:p>
      <w:pPr>
        <w:pStyle w:val="Normal"/>
        <w:spacing w:lineRule="exact" w:line="276" w:before="0" w:after="140"/>
        <w:rPr/>
      </w:pPr>
      <w:r>
        <w:rPr>
          <w:rFonts w:eastAsia="Calibri" w:cs="Calibri"/>
          <w:b/>
          <w:bCs/>
        </w:rPr>
        <w:t>Tonic Immobility</w:t>
      </w:r>
      <w:r>
        <w:rPr>
          <w:rFonts w:eastAsia="Calibri" w:cs="Calibri"/>
        </w:rPr>
        <w:t xml:space="preserve"> — Respons "beku" neurobiologis terhadap trauma yang dapat membuat korban tampak tenang atau datar secara emosional saat menceritakan kejadian traumatis; bukan indikasi ketidakjujuran.</w:t>
      </w:r>
    </w:p>
    <w:p>
      <w:pPr>
        <w:pStyle w:val="Normal"/>
        <w:spacing w:lineRule="exact" w:line="276" w:before="0" w:after="140"/>
        <w:rPr/>
      </w:pPr>
      <w:r>
        <w:rPr>
          <w:rFonts w:eastAsia="Calibri" w:cs="Calibri"/>
          <w:b/>
          <w:bCs/>
        </w:rPr>
        <w:t>Unit Pelayanan Perempuan dan Anak (PPA)</w:t>
      </w:r>
      <w:r>
        <w:rPr>
          <w:rFonts w:eastAsia="Calibri" w:cs="Calibri"/>
        </w:rPr>
        <w:t xml:space="preserve"> — Unit pada institusi kepolisian dengan mandat pelayanan responsif terhadap kebutuhan psikologis penyintas KBG, berbeda dari unit reserse kriminal umum.</w:t>
      </w:r>
    </w:p>
    <w:p>
      <w:pPr>
        <w:pStyle w:val="Normal"/>
        <w:spacing w:lineRule="exact" w:line="276" w:before="0" w:after="140"/>
        <w:rPr/>
      </w:pPr>
      <w:r>
        <w:rPr>
          <w:rFonts w:eastAsia="Calibri" w:cs="Calibri"/>
          <w:b/>
          <w:bCs/>
        </w:rPr>
        <w:t>Vicarious Traumatization</w:t>
      </w:r>
      <w:r>
        <w:rPr>
          <w:rFonts w:eastAsia="Calibri" w:cs="Calibri"/>
        </w:rPr>
        <w:t xml:space="preserve"> — Dampak psikologis kumulatif pada tenaga kesehatan/pendamping akibat paparan berulang terhadap kisah trauma Pasien.</w:t>
      </w:r>
    </w:p>
    <w:p>
      <w:pPr>
        <w:pStyle w:val="Normal"/>
        <w:spacing w:lineRule="exact" w:line="276" w:before="0" w:after="140"/>
        <w:rPr/>
      </w:pPr>
      <w:r>
        <w:rPr>
          <w:rFonts w:eastAsia="Calibri" w:cs="Calibri"/>
          <w:b/>
          <w:bCs/>
        </w:rPr>
        <w:t>Visum et Repertum</w:t>
      </w:r>
      <w:r>
        <w:rPr>
          <w:rFonts w:eastAsia="Calibri" w:cs="Calibri"/>
        </w:rPr>
        <w:t xml:space="preserve"> — Keterangan tertulis dokter atas permintaan resmi penyidik mengenai hasil pemeriksaan pada tubuh manusia untuk kepentingan peradilan, mengikuti format baku Pro Justitia.</w:t>
      </w:r>
    </w:p>
    <w:p>
      <w:pPr>
        <w:pStyle w:val="Normal"/>
        <w:rPr/>
      </w:pPr>
      <w:r>
        <w:rPr/>
      </w:r>
      <w:r>
        <w:br w:type="page"/>
      </w:r>
    </w:p>
    <w:p>
      <w:pPr>
        <w:pStyle w:val="Heading1"/>
        <w:spacing w:before="0" w:after="160"/>
        <w:rPr/>
      </w:pPr>
      <w:bookmarkStart w:id="78" w:name="__RefHeading___Toc721_3416633461"/>
      <w:bookmarkEnd w:id="78"/>
      <w:r>
        <w:rPr/>
        <w:t>Daftar Referensi</w:t>
      </w:r>
    </w:p>
    <w:p>
      <w:pPr>
        <w:pStyle w:val="Heading2"/>
        <w:spacing w:before="320" w:after="160"/>
        <w:rPr/>
      </w:pPr>
      <w:bookmarkStart w:id="79" w:name="__RefHeading___Toc723_3416633461"/>
      <w:bookmarkEnd w:id="79"/>
      <w:r>
        <w:rPr/>
        <w:t>Peraturan Perundang-undangan dan Regulasi</w:t>
      </w:r>
    </w:p>
    <w:p>
      <w:pPr>
        <w:pStyle w:val="Normal"/>
        <w:spacing w:lineRule="exact" w:line="276" w:before="0" w:after="160"/>
        <w:ind w:hanging="400" w:left="400"/>
        <w:rPr/>
      </w:pPr>
      <w:r>
        <w:rPr>
          <w:rFonts w:eastAsia="Calibri" w:cs="Calibri"/>
        </w:rPr>
        <w:t>1. Republik Indonesia. Undang-Undang Nomor 17 Tahun 2023 tentang Kesehatan. Jakarta: Kementerian Kesehatan; 2023. Tersedia dari: https://jdih.kemkes.go.id/id/undang-undang-republik-indonesia-nomor-17-tahun-2023-tentang-kesehatan</w:t>
      </w:r>
    </w:p>
    <w:p>
      <w:pPr>
        <w:pStyle w:val="Normal"/>
        <w:spacing w:lineRule="exact" w:line="276" w:before="0" w:after="160"/>
        <w:ind w:hanging="400" w:left="400"/>
        <w:rPr/>
      </w:pPr>
      <w:r>
        <w:rPr>
          <w:rFonts w:eastAsia="Calibri" w:cs="Calibri"/>
        </w:rPr>
        <w:t>2. Republik Indonesia. Peraturan Pemerintah Nomor 28 Tahun 2024 tentang Peraturan Pelaksanaan Undang-Undang Nomor 17 Tahun 2023 tentang Kesehatan. Jakarta; 2024. Tersedia dari: https://peraturan.bpk.go.id/details/294077/pp-no-28-tahun-2024</w:t>
      </w:r>
    </w:p>
    <w:p>
      <w:pPr>
        <w:pStyle w:val="Normal"/>
        <w:spacing w:lineRule="exact" w:line="276" w:before="0" w:after="160"/>
        <w:ind w:hanging="400" w:left="400"/>
        <w:rPr/>
      </w:pPr>
      <w:r>
        <w:rPr>
          <w:rFonts w:eastAsia="Calibri" w:cs="Calibri"/>
        </w:rPr>
        <w:t>3. Kementerian Kesehatan Republik Indonesia. Peraturan Menteri Kesehatan Nomor 6 Tahun 2026 tentang Rumah Sakit. Jakarta; 2026. Tersedia dari: https://jdih.kemkes.go.id/documents/peraturan-menteri-kesehatan-nomor-6-tahun-2026</w:t>
      </w:r>
    </w:p>
    <w:p>
      <w:pPr>
        <w:pStyle w:val="Normal"/>
        <w:spacing w:lineRule="exact" w:line="276" w:before="0" w:after="160"/>
        <w:ind w:hanging="400" w:left="400"/>
        <w:rPr/>
      </w:pPr>
      <w:r>
        <w:rPr>
          <w:rFonts w:eastAsia="Calibri" w:cs="Calibri"/>
        </w:rPr>
        <w:t>4. Kementerian Kesehatan Republik Indonesia. Peraturan Menteri Kesehatan Nomor 3 Tahun 2025 tentang Penegakan Disiplin Profesi Tenaga Medis dan Tenaga Kesehatan. Jakarta; 2025. Tersedia dari: https://jdih.kemkes.go.id/documents/peraturan-menteri-kesehatan-nomor-3-tahun-2025</w:t>
      </w:r>
    </w:p>
    <w:p>
      <w:pPr>
        <w:pStyle w:val="Normal"/>
        <w:spacing w:lineRule="exact" w:line="276" w:before="0" w:after="160"/>
        <w:ind w:hanging="400" w:left="400"/>
        <w:rPr/>
      </w:pPr>
      <w:r>
        <w:rPr>
          <w:rFonts w:eastAsia="Calibri" w:cs="Calibri"/>
        </w:rPr>
        <w:t>5. Konsil Kesehatan Indonesia. Keputusan Ketua Konsil Kesehatan Indonesia Nomor HK.01.02/KKI/1318/2026 tentang Standar Kompetensi Dokter Spesialis dan Subspesialis Bidang Obstetri dan Ginekologi. Ditetapkan di Jakarta, 7 Mei 2026, oleh Ketua Konsil Kesehatan Indonesia (Arianti Anaya). [Salinan resmi telah diverifikasi langsung dari dokumen sumber]</w:t>
      </w:r>
    </w:p>
    <w:p>
      <w:pPr>
        <w:pStyle w:val="Normal"/>
        <w:spacing w:lineRule="exact" w:line="276" w:before="0" w:after="160"/>
        <w:ind w:hanging="400" w:left="400"/>
        <w:rPr/>
      </w:pPr>
      <w:r>
        <w:rPr>
          <w:rFonts w:eastAsia="Calibri" w:cs="Calibri"/>
        </w:rPr>
        <w:t>6. Republik Indonesia. Undang-Undang Nomor 27 Tahun 2022 tentang Pelindungan Data Pribadi. Jakarta; 2022. Tersedia dari: https://jdih.komdigi.go.id/produk_hukum/view/id/832/t/undangundang+nomor+27+tahun+2022</w:t>
      </w:r>
    </w:p>
    <w:p>
      <w:pPr>
        <w:pStyle w:val="Heading2"/>
        <w:spacing w:before="320" w:after="160"/>
        <w:rPr/>
      </w:pPr>
      <w:bookmarkStart w:id="80" w:name="__RefHeading___Toc725_3416633461"/>
      <w:bookmarkEnd w:id="80"/>
      <w:r>
        <w:rPr/>
        <w:t>Dokumen Internal Seri Pedoman RS (Perpustakaan Digital ABBA)</w:t>
      </w:r>
    </w:p>
    <w:p>
      <w:pPr>
        <w:pStyle w:val="Normal"/>
        <w:spacing w:lineRule="exact" w:line="276" w:before="0" w:after="160"/>
        <w:ind w:hanging="400" w:left="400"/>
        <w:rPr/>
      </w:pPr>
      <w:r>
        <w:rPr>
          <w:rFonts w:eastAsia="Calibri" w:cs="Calibri"/>
        </w:rPr>
        <w:t>7. Siswanto B. Pedoman Pelayanan Rumah Sakit: Peran Obstetri Ginekologi Sosial (Obginsos) di Rumah Sakit — Kompetensi Mandiri dan Kolaborasi Interdisiplin. Malang: Perpustakaan Digital ABBA; 2026. (Dokumen 1 dari 6 — Seri Pedoman Peran Obginsos di Rumah Sakit).</w:t>
      </w:r>
    </w:p>
    <w:p>
      <w:pPr>
        <w:pStyle w:val="Normal"/>
        <w:spacing w:lineRule="exact" w:line="276" w:before="0" w:after="160"/>
        <w:ind w:hanging="400" w:left="400"/>
        <w:rPr/>
      </w:pPr>
      <w:r>
        <w:rPr>
          <w:rFonts w:eastAsia="Calibri" w:cs="Calibri"/>
        </w:rPr>
        <w:t>8. Siswanto B. Standar Prosedur Operasional (SPO) Pelayanan Obstetri Ginekologi Sosial (Obginsos): Alur Klinis, Triase Kewenangan, dan Algoritma Keputusan Rujukan/Kolaborasi. Malang: Perpustakaan Digital ABBA; 2026. (Dokumen 2 dari 6).</w:t>
      </w:r>
    </w:p>
    <w:p>
      <w:pPr>
        <w:pStyle w:val="Normal"/>
        <w:spacing w:lineRule="exact" w:line="276" w:before="0" w:after="160"/>
        <w:ind w:hanging="400" w:left="400"/>
        <w:rPr/>
      </w:pPr>
      <w:r>
        <w:rPr>
          <w:rFonts w:eastAsia="Calibri" w:cs="Calibri"/>
        </w:rPr>
        <w:t>9. Siswanto B. Cuplikan Kode Etik &amp; Disiplin Profesi Relevan bagi Praktik Obstetri Ginekologi Sosial (Obginsos) di Rumah Sakit. Malang: Perpustakaan Digital ABBA; 2026. (Dokumen 3 dari 6).</w:t>
      </w:r>
    </w:p>
    <w:p>
      <w:pPr>
        <w:pStyle w:val="Normal"/>
        <w:spacing w:lineRule="exact" w:line="276" w:before="0" w:after="160"/>
        <w:ind w:hanging="400" w:left="400"/>
        <w:rPr/>
      </w:pPr>
      <w:r>
        <w:rPr>
          <w:rFonts w:eastAsia="Calibri" w:cs="Calibri"/>
        </w:rPr>
        <w:t>10. Siswanto B. Matriks Rincian Kewenangan Klinis (RKK) Subspesialis Obstetri Ginekologi Sosial (Obginsos). Malang: Perpustakaan Digital ABBA; 2026. (Dokumen 4 dari 6).</w:t>
      </w:r>
    </w:p>
    <w:p>
      <w:pPr>
        <w:pStyle w:val="Normal"/>
        <w:spacing w:lineRule="exact" w:line="276" w:before="0" w:after="160"/>
        <w:ind w:hanging="400" w:left="400"/>
        <w:rPr/>
      </w:pPr>
      <w:r>
        <w:rPr>
          <w:rFonts w:eastAsia="Calibri" w:cs="Calibri"/>
        </w:rPr>
        <w:t>11. Siswanto B. Keputusan Direktur: Pengesahan dan Pemberlakuan Pedoman, SPO, Kode Etik, dan RKK Pelayanan Obginsos di Rumah Sakit (Template). Malang: Perpustakaan Digital ABBA; 2026. (Dokumen 5 dari 6).</w:t>
      </w:r>
    </w:p>
    <w:p>
      <w:pPr>
        <w:pStyle w:val="Normal"/>
        <w:spacing w:lineRule="exact" w:line="276" w:before="0" w:after="160"/>
        <w:ind w:hanging="400" w:left="400"/>
        <w:rPr/>
      </w:pPr>
      <w:r>
        <w:rPr>
          <w:rFonts w:eastAsia="Calibri" w:cs="Calibri"/>
        </w:rPr>
        <w:t>12. Siswanto B. Kumpulan Formulir Klinis Operasional Pelayanan Obstetri Ginekologi Sosial (Obginsos). Malang: Perpustakaan Digital ABBA; 2026. (Dokumen 6 dari 6).</w:t>
      </w:r>
    </w:p>
    <w:p>
      <w:pPr>
        <w:pStyle w:val="Normal"/>
        <w:spacing w:lineRule="exact" w:line="276" w:before="0" w:after="160"/>
        <w:ind w:hanging="400" w:left="400"/>
        <w:rPr/>
      </w:pPr>
      <w:r>
        <w:rPr>
          <w:rFonts w:eastAsia="Calibri" w:cs="Calibri"/>
        </w:rPr>
        <w:t>13. Siswanto B. Lampiran Bersama: Panduan Penulisan — Seri "Dari Bangsal ke Beranda". Malang: Perpustakaan Digital ABBA; 2026.</w:t>
      </w:r>
    </w:p>
    <w:p>
      <w:pPr>
        <w:pStyle w:val="Heading2"/>
        <w:spacing w:before="320" w:after="160"/>
        <w:rPr/>
      </w:pPr>
      <w:bookmarkStart w:id="81" w:name="__RefHeading___Toc727_3416633461"/>
      <w:bookmarkEnd w:id="81"/>
      <w:r>
        <w:rPr/>
        <w:t>Literatur dan Pedoman Organisasi Profesi</w:t>
      </w:r>
    </w:p>
    <w:p>
      <w:pPr>
        <w:pStyle w:val="Normal"/>
        <w:spacing w:lineRule="exact" w:line="276" w:before="0" w:after="160"/>
        <w:ind w:hanging="400" w:left="400"/>
        <w:rPr/>
      </w:pPr>
      <w:r>
        <w:rPr>
          <w:rFonts w:eastAsia="Calibri" w:cs="Calibri"/>
        </w:rPr>
        <w:t>14. World Health Organization. Responding to intimate partner violence and sexual violence against women: WHO clinical and policy guidelines. Geneva: WHO; 2013. Tersedia dari: https://www.who.int/publications-detail-redirect/WHO-RHR-13.10</w:t>
      </w:r>
    </w:p>
    <w:p>
      <w:pPr>
        <w:pStyle w:val="Normal"/>
        <w:spacing w:lineRule="exact" w:line="276" w:before="0" w:after="160"/>
        <w:ind w:hanging="400" w:left="400"/>
        <w:rPr/>
      </w:pPr>
      <w:r>
        <w:rPr>
          <w:rFonts w:eastAsia="Calibri" w:cs="Calibri"/>
        </w:rPr>
        <w:t>15. World Health Organization. Health care for women subjected to intimate partner violence or sexual violence: a clinical handbook. Geneva: WHO; 2014. Tersedia dari: https://iris.who.int/handle/10665/136101</w:t>
      </w:r>
    </w:p>
    <w:p>
      <w:pPr>
        <w:pStyle w:val="Normal"/>
        <w:spacing w:lineRule="exact" w:line="276" w:before="0" w:after="160"/>
        <w:ind w:hanging="400" w:left="400"/>
        <w:rPr/>
      </w:pPr>
      <w:r>
        <w:rPr>
          <w:rFonts w:eastAsia="Calibri" w:cs="Calibri"/>
        </w:rPr>
        <w:t>16. Stark E. Coercive Control: How Men Entrap Women in Personal Life. New York: Oxford University Press; 2007.</w:t>
      </w:r>
    </w:p>
    <w:p>
      <w:pPr>
        <w:pStyle w:val="Normal"/>
        <w:spacing w:lineRule="exact" w:line="276" w:before="0" w:after="160"/>
        <w:ind w:hanging="400" w:left="400"/>
        <w:rPr/>
      </w:pPr>
      <w:r>
        <w:rPr>
          <w:rFonts w:eastAsia="Calibri" w:cs="Calibri"/>
        </w:rPr>
        <w:t>17. Substance Abuse and Mental Health Services Administration (SAMHSA). SAMHSA's Concept of Trauma and Guidance for a Trauma-Informed Approach. HHS Publication No. (SMA) 14-4884. Rockville: SAMHSA; 2014. Tersedia dari: https://library.samhsa.gov/product/samhsas-concept-trauma-and-guidance-trauma-informed-approach/sma14-4884</w:t>
      </w:r>
    </w:p>
    <w:p>
      <w:pPr>
        <w:pStyle w:val="Normal"/>
        <w:spacing w:lineRule="exact" w:line="276" w:before="0" w:after="160"/>
        <w:ind w:hanging="400" w:left="400"/>
        <w:rPr/>
      </w:pPr>
      <w:r>
        <w:rPr>
          <w:rFonts w:eastAsia="Calibri" w:cs="Calibri"/>
        </w:rPr>
        <w:t>18. Pedoman Pelayanan dan Rujukan Kekerasan terhadap Perempuan dan Anak (2020). Diakses melalui portal UNFPA Indonesia. [Catatan: penerbit/lembaga penyusun asli tidak tercantum eksplisit pada salinan yang diakses — perlu verifikasi lebih lanjut sebelum dikutip sebagai rujukan resmi]. Tersedia dari: https://indonesia.unfpa.org/sites/default/files/submissions/design_reference_2.pdf</w:t>
      </w:r>
    </w:p>
    <w:p>
      <w:pPr>
        <w:pStyle w:val="Normal"/>
        <w:spacing w:lineRule="exact" w:line="276" w:before="0" w:after="160"/>
        <w:ind w:hanging="400" w:left="400"/>
        <w:rPr/>
      </w:pPr>
      <w:r>
        <w:rPr>
          <w:rFonts w:eastAsia="Calibri" w:cs="Calibri"/>
        </w:rPr>
        <w:t>19. Menteri Negara Pemberdayaan Perempuan dan Perlindungan Anak Republik Indonesia. Peraturan Menteri Negara Pemberdayaan Perempuan dan Perlindungan Anak Nomor 01 Tahun 2010 tentang Standar Pelayanan Minimal Bidang Layanan Terpadu bagi Perempuan dan Anak Korban Kekerasan. Jakarta; 2010. [URL belum diverifikasi]</w:t>
      </w:r>
    </w:p>
    <w:p>
      <w:pPr>
        <w:pStyle w:val="Normal"/>
        <w:rPr/>
      </w:pPr>
      <w:r>
        <w:rPr/>
      </w:r>
      <w:r>
        <w:br w:type="page"/>
      </w:r>
    </w:p>
    <w:p>
      <w:pPr>
        <w:pStyle w:val="Normal"/>
        <w:spacing w:before="0" w:after="3000"/>
        <w:rPr/>
      </w:pPr>
      <w:r>
        <w:rPr/>
      </w:r>
    </w:p>
    <w:p>
      <w:pPr>
        <w:pStyle w:val="Normal"/>
        <w:spacing w:before="0" w:after="300"/>
        <w:jc w:val="center"/>
        <w:rPr/>
      </w:pPr>
      <w:r>
        <w:rPr>
          <w:rFonts w:eastAsia="Cambria" w:cs="Cambria" w:ascii="Cambria" w:hAnsi="Cambria"/>
          <w:sz w:val="22"/>
          <w:szCs w:val="22"/>
        </w:rPr>
        <w:t>Malang, Juli 2026</w:t>
      </w:r>
    </w:p>
    <w:p>
      <w:pPr>
        <w:pStyle w:val="Normal"/>
        <w:spacing w:before="0" w:after="200"/>
        <w:jc w:val="center"/>
        <w:rPr/>
      </w:pPr>
      <w:r>
        <w:rPr>
          <w:rFonts w:eastAsia="Cambria" w:cs="Cambria" w:ascii="Cambria" w:hAnsi="Cambria"/>
          <w:sz w:val="22"/>
          <w:szCs w:val="22"/>
        </w:rPr>
        <w:t>Penyusun,</w:t>
      </w:r>
    </w:p>
    <w:p>
      <w:pPr>
        <w:pStyle w:val="Normal"/>
        <w:spacing w:before="0" w:after="600"/>
        <w:jc w:val="center"/>
        <w:rPr/>
      </w:pPr>
      <w:r>
        <w:rPr>
          <w:rFonts w:eastAsia="Cambria" w:cs="Cambria" w:ascii="Cambria" w:hAnsi="Cambria"/>
          <w:b/>
          <w:bCs/>
          <w:sz w:val="24"/>
          <w:szCs w:val="24"/>
        </w:rPr>
        <w:t>Dr.dr. Budi Siswanto, Sp.OG., Subsp.Obginsos., SH., S.Kom. — Advokat</w:t>
      </w:r>
    </w:p>
    <w:p>
      <w:pPr>
        <w:pStyle w:val="Normal"/>
        <w:spacing w:before="0" w:after="200"/>
        <w:jc w:val="center"/>
        <w:rPr/>
      </w:pPr>
      <w:r>
        <w:rPr>
          <w:rFonts w:eastAsia="Cambria" w:cs="Cambria" w:ascii="Cambria" w:hAnsi="Cambria"/>
          <w:sz w:val="20"/>
          <w:szCs w:val="20"/>
        </w:rPr>
        <w:t>Diterbitkan oleh:</w:t>
      </w:r>
    </w:p>
    <w:p>
      <w:pPr>
        <w:pStyle w:val="Normal"/>
        <w:spacing w:before="0" w:after="120"/>
        <w:jc w:val="center"/>
        <w:rPr/>
      </w:pPr>
      <w:r>
        <w:rPr>
          <w:rFonts w:eastAsia="Cambria" w:cs="Cambria" w:ascii="Cambria" w:hAnsi="Cambria"/>
          <w:b/>
          <w:bCs/>
          <w:color w:val="2C3A64"/>
          <w:sz w:val="24"/>
          <w:szCs w:val="24"/>
        </w:rPr>
        <w:t>Perpustakaan Digital ABBA</w:t>
      </w:r>
    </w:p>
    <w:p>
      <w:pPr>
        <w:pStyle w:val="Normal"/>
        <w:jc w:val="center"/>
        <w:rPr/>
      </w:pPr>
      <w:r>
        <w:rPr>
          <w:rFonts w:eastAsia="Cambria" w:cs="Cambria" w:ascii="Cambria" w:hAnsi="Cambria"/>
          <w:sz w:val="20"/>
          <w:szCs w:val="20"/>
        </w:rPr>
        <w:t>Jl. Kerinci Raya No. 9, Malang 65138</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40" w:right="1440" w:gutter="0" w:header="708" w:top="1440" w:footer="708"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swiss"/>
    <w:pitch w:val="variable"/>
  </w:font>
  <w:font w:name="Liberation Sans">
    <w:altName w:val="Arial"/>
    <w:charset w:val="01"/>
    <w:family w:val="swiss"/>
    <w:pitch w:val="variable"/>
  </w:font>
  <w:font w:name="Cambr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fldChar w:fldCharType="begin"/>
    </w:r>
    <w:r>
      <w:rPr/>
      <w:instrText xml:space="preserve"> PAGE </w:instrText>
    </w:r>
    <w:r>
      <w:rPr/>
      <w:fldChar w:fldCharType="separate"/>
    </w:r>
    <w:r>
      <w:rPr/>
      <w:t>35</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fldChar w:fldCharType="begin"/>
    </w:r>
    <w:r>
      <w:rPr/>
      <w:instrText xml:space="preserve"> PAGE </w:instrText>
    </w:r>
    <w:r>
      <w:rPr/>
      <w:fldChar w:fldCharType="separate"/>
    </w:r>
    <w:r>
      <w:rPr/>
      <w:t>35</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pPr>
    <w:r>
      <w:rPr>
        <w:rFonts w:eastAsia="Calibri" w:cs="Calibri"/>
        <w:color w:val="888888"/>
        <w:sz w:val="16"/>
        <w:szCs w:val="16"/>
      </w:rPr>
      <w:t>MS-2 — Kekerasan Berbasis Gender</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pPr>
    <w:r>
      <w:rPr>
        <w:rFonts w:eastAsia="Calibri" w:cs="Calibri"/>
        <w:color w:val="888888"/>
        <w:sz w:val="16"/>
        <w:szCs w:val="16"/>
      </w:rPr>
      <w:t>MS-2 — Kekerasan Berbasis Gender</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zh-CN" w:bidi="hi-IN"/>
      </w:rPr>
    </w:rPrDefault>
    <w:pPrDefault>
      <w:pPr>
        <w:suppressAutoHyphens w:val="true"/>
      </w:pPr>
    </w:pPrDefault>
  </w:docDefaults>
  <w:style w:type="paragraph" w:styleId="Normal">
    <w:name w:val="Normal"/>
    <w:qFormat/>
    <w:pPr>
      <w:widowControl/>
      <w:bidi w:val="0"/>
      <w:spacing w:before="0" w:after="0"/>
      <w:jc w:val="left"/>
    </w:pPr>
    <w:rPr>
      <w:rFonts w:ascii="Calibri" w:hAnsi="Calibri" w:eastAsia="Calibri" w:cs="Calibri"/>
      <w:color w:val="auto"/>
      <w:kern w:val="0"/>
      <w:sz w:val="22"/>
      <w:szCs w:val="22"/>
      <w:lang w:val="en-US" w:eastAsia="zh-CN" w:bidi="hi-IN"/>
    </w:rPr>
  </w:style>
  <w:style w:type="paragraph" w:styleId="Heading1">
    <w:name w:val="Heading 1"/>
    <w:basedOn w:val="Heading"/>
    <w:qFormat/>
    <w:pPr>
      <w:spacing w:before="400" w:after="200"/>
      <w:outlineLvl w:val="0"/>
    </w:pPr>
    <w:rPr>
      <w:rFonts w:ascii="Cambria" w:hAnsi="Cambria" w:eastAsia="Cambria" w:cs="Cambria"/>
      <w:b/>
      <w:bCs/>
      <w:color w:val="2C3A64"/>
      <w:sz w:val="32"/>
      <w:szCs w:val="32"/>
    </w:rPr>
  </w:style>
  <w:style w:type="paragraph" w:styleId="Heading2">
    <w:name w:val="Heading 2"/>
    <w:basedOn w:val="Heading"/>
    <w:qFormat/>
    <w:pPr>
      <w:spacing w:before="320" w:after="160"/>
      <w:outlineLvl w:val="1"/>
    </w:pPr>
    <w:rPr>
      <w:rFonts w:ascii="Cambria" w:hAnsi="Cambria" w:eastAsia="Cambria" w:cs="Cambria"/>
      <w:b/>
      <w:bCs/>
      <w:color w:val="2C3A64"/>
      <w:sz w:val="26"/>
      <w:szCs w:val="26"/>
    </w:rPr>
  </w:style>
  <w:style w:type="paragraph" w:styleId="Heading3">
    <w:name w:val="Heading 3"/>
    <w:basedOn w:val="Heading"/>
    <w:qFormat/>
    <w:pPr>
      <w:spacing w:before="260" w:after="120"/>
      <w:outlineLvl w:val="2"/>
    </w:pPr>
    <w:rPr>
      <w:rFonts w:ascii="Cambria" w:hAnsi="Cambria" w:eastAsia="Cambria" w:cs="Cambria"/>
      <w:b/>
      <w:bCs/>
      <w:color w:val="A9812F"/>
      <w:sz w:val="23"/>
      <w:szCs w:val="23"/>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Hyper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styleId="FootnoteTextChar">
    <w:name w:val="Footnote Text Char"/>
    <w:link w:val="FootnoteText"/>
    <w:uiPriority w:val="99"/>
    <w:semiHidden/>
    <w:unhideWhenUsed/>
    <w:qFormat/>
    <w:rPr>
      <w:sz w:val="20"/>
      <w:szCs w:val="20"/>
    </w:rPr>
  </w:style>
  <w:style w:type="character" w:styleId="EndnoteCharacters">
    <w:name w:val="Endnote Characters"/>
    <w:uiPriority w:val="99"/>
    <w:semiHidden/>
    <w:unhideWhenUsed/>
    <w:qFormat/>
    <w:rPr>
      <w:vertAlign w:val="superscript"/>
    </w:rPr>
  </w:style>
  <w:style w:type="character" w:styleId="EndnoteReference">
    <w:name w:val="Endnote Reference"/>
    <w:rPr>
      <w:vertAlign w:val="superscript"/>
    </w:rPr>
  </w:style>
  <w:style w:type="character" w:styleId="EndnoteTextChar">
    <w:name w:val="Endnote Text Char"/>
    <w:link w:val="EndnoteText"/>
    <w:uiPriority w:val="99"/>
    <w:semiHidden/>
    <w:unhideWhenUsed/>
    <w:qFormat/>
    <w:rPr>
      <w:sz w:val="20"/>
      <w:szCs w:val="20"/>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itle">
    <w:name w:val="Title"/>
    <w:basedOn w:val="Heading"/>
    <w:qFormat/>
    <w:pPr/>
    <w:rPr>
      <w:sz w:val="56"/>
      <w:szCs w:val="56"/>
    </w:rPr>
  </w:style>
  <w:style w:type="paragraph" w:styleId="StrongEmphasis">
    <w:name w:val="Strong Emphasis"/>
    <w:qFormat/>
    <w:pPr>
      <w:widowControl/>
      <w:bidi w:val="0"/>
      <w:spacing w:before="0" w:after="0"/>
      <w:jc w:val="left"/>
    </w:pPr>
    <w:rPr>
      <w:rFonts w:ascii="Calibri" w:hAnsi="Calibri" w:eastAsia="Calibri" w:cs="Calibri"/>
      <w:b/>
      <w:bCs/>
      <w:color w:val="auto"/>
      <w:kern w:val="0"/>
      <w:sz w:val="22"/>
      <w:szCs w:val="22"/>
      <w:lang w:val="en-US" w:eastAsia="zh-CN" w:bidi="hi-IN"/>
    </w:rPr>
  </w:style>
  <w:style w:type="paragraph" w:styleId="ListParagraph">
    <w:name w:val="List Paragraph"/>
    <w:qFormat/>
    <w:pPr>
      <w:widowControl/>
      <w:bidi w:val="0"/>
      <w:spacing w:before="0" w:after="0"/>
      <w:jc w:val="left"/>
    </w:pPr>
    <w:rPr>
      <w:rFonts w:ascii="Calibri" w:hAnsi="Calibri" w:eastAsia="Calibri" w:cs="Calibri"/>
      <w:color w:val="auto"/>
      <w:kern w:val="0"/>
      <w:sz w:val="22"/>
      <w:szCs w:val="22"/>
      <w:lang w:val="en-US" w:eastAsia="zh-CN"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TOC1">
    <w:name w:val="TOC 1"/>
    <w:basedOn w:val="Index"/>
    <w:pPr>
      <w:tabs>
        <w:tab w:val="clear" w:pos="720"/>
        <w:tab w:val="right" w:pos="9026" w:leader="dot"/>
      </w:tabs>
      <w:ind w:hanging="0" w:left="0"/>
    </w:pPr>
    <w:rPr/>
  </w:style>
  <w:style w:type="paragraph" w:styleId="TOC2">
    <w:name w:val="TOC 2"/>
    <w:basedOn w:val="Index"/>
    <w:pPr>
      <w:tabs>
        <w:tab w:val="clear" w:pos="720"/>
        <w:tab w:val="right" w:pos="8743" w:leader="dot"/>
      </w:tabs>
      <w:ind w:hanging="0" w:left="283"/>
    </w:pPr>
    <w:rPr/>
  </w:style>
  <w:style w:type="paragraph" w:styleId="TOC3">
    <w:name w:val="TOC 3"/>
    <w:basedOn w:val="Index"/>
    <w:pPr>
      <w:tabs>
        <w:tab w:val="clear" w:pos="720"/>
        <w:tab w:val="right" w:pos="8459" w:leader="dot"/>
      </w:tabs>
      <w:ind w:hanging="0" w:left="56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35</Pages>
  <Words>10950</Words>
  <Characters>74320</Characters>
  <CharactersWithSpaces>84931</CharactersWithSpaces>
  <Paragraphs>508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2026-07-08T07:51:32Z</dcterms:created>
  <dc:creator>Un-named</dc:creator>
  <dc:description/>
  <dc:language>en-US</dc:language>
  <cp:lastModifiedBy/>
  <dcterms:modified xsi:type="dcterms:W3CDTF">2026-07-08T07:51:41Z</dcterms:modified>
  <cp:revision>2</cp:revision>
  <dc:subject/>
  <dc:title/>
</cp:coreProperties>
</file>